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spacing w:line="360" w:lineRule="auto"/>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2"/>
        <w:ind w:firstLine="0"/>
        <w:jc w:val="center"/>
        <w:spacing w:line="360" w:lineRule="auto"/>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spacing w:line="360" w:lineRule="auto"/>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spacing w:line="360" w:lineRule="auto"/>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spacing w:line="360" w:lineRule="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项目编号：JSZC-320211-JZCG-G2026-0013</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项目名称：省锡中滨湖分校生涯教育和心理健康装备采购项目</w:t>
      </w:r>
      <w:r/>
    </w:p>
    <w:p>
      <w:pPr>
        <w:jc w:val="left"/>
        <w:spacing w:line="360" w:lineRule="auto"/>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人：无锡市滨湖区教育局</w:t>
      </w:r>
      <w:r/>
    </w:p>
    <w:p>
      <w:pPr>
        <w:pStyle w:val="972"/>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line="360" w:lineRule="auto"/>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72"/>
        <w:ind w:firstLine="0"/>
        <w:jc w:val="center"/>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八</w:t>
      </w:r>
      <w:r>
        <w:rPr>
          <w:rFonts w:hint="eastAsia" w:ascii="黑体" w:hAnsi="华文中宋" w:eastAsia="黑体"/>
          <w:bCs/>
          <w:color w:val="000000"/>
          <w:sz w:val="32"/>
          <w:szCs w:val="32"/>
          <w:highlight w:val="none"/>
        </w:rPr>
        <w:t xml:space="preserve">月</w:t>
      </w:r>
      <w:r/>
    </w:p>
    <w:p>
      <w:pPr>
        <w:pStyle w:val="972"/>
        <w:ind w:firstLine="0"/>
        <w:jc w:val="center"/>
        <w:spacing w:line="360" w:lineRule="auto"/>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黑体" w:hAnsi="黑体" w:eastAsia="黑体"/>
          <w:sz w:val="36"/>
          <w:szCs w:val="36"/>
        </w:rPr>
        <w:t xml:space="preserve">总  目  录</w:t>
      </w:r>
      <w:r/>
    </w:p>
    <w:p>
      <w:pPr>
        <w:jc w:val="center"/>
        <w:spacing w:line="36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36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360" w:lineRule="auto"/>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受</w:t>
      </w:r>
      <w:r>
        <w:rPr>
          <w:rFonts w:hint="eastAsia" w:ascii="宋体" w:hAnsi="宋体" w:eastAsia="宋体" w:cs="Times New Roman"/>
          <w:color w:val="000000"/>
          <w:sz w:val="24"/>
          <w:szCs w:val="24"/>
          <w:lang w:val="en-US" w:eastAsia="zh-CN"/>
        </w:rPr>
        <w:t xml:space="preserve">无锡市滨湖区教育局</w:t>
      </w:r>
      <w:r>
        <w:rPr>
          <w:rFonts w:hint="eastAsia" w:ascii="宋体" w:hAnsi="宋体" w:eastAsia="宋体" w:cs="Times New Roman"/>
          <w:color w:val="000000"/>
          <w:sz w:val="24"/>
          <w:szCs w:val="24"/>
          <w:lang w:eastAsia="zh-CN"/>
        </w:rPr>
        <w:t xml:space="preserve">的委托，无锡市滨湖区公共资源交易中心就省锡中滨湖分校生涯教育和心理健康装备采购项目进行公开招标采购，欢迎符合条件的供应商投标。</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lang w:eastAsia="zh-CN"/>
        </w:rPr>
        <w:t xml:space="preserve">省锡中滨湖分校生涯教育和心理健康装备采购项目的潜在投标人应在“江苏政府采购网”自行浏览招标文件，如有投标意向须在本招标文件有效获取期内通过登录“江苏省</w:t>
      </w:r>
      <w:r>
        <w:rPr>
          <w:rFonts w:ascii="宋体" w:hAnsi="宋体"/>
          <w:color w:val="000000"/>
          <w:sz w:val="24"/>
          <w:szCs w:val="24"/>
        </w:rPr>
        <w:t xml:space="preserve">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10</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87"/>
        <w:ind w:firstLine="452"/>
        <w:keepLines w:val="0"/>
        <w:keepNext w:val="0"/>
        <w:spacing w:before="0" w:after="0" w:line="360" w:lineRule="auto"/>
        <w:rPr>
          <w:sz w:val="30"/>
          <w:szCs w:val="30"/>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1.项目编号：JSZC-320211-JZCG-G2026-0013</w:t>
      </w:r>
      <w:r/>
    </w:p>
    <w:p>
      <w:pPr>
        <w:ind w:firstLine="480"/>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2.项目名称：省锡中滨湖分校生涯教育和心理健康装备采购项目</w:t>
      </w:r>
      <w:bookmarkEnd w:id="11"/>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3.项目预算金额：198.4599 万元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160.332</w:t>
      </w:r>
      <w:r>
        <w:rPr>
          <w:rFonts w:hint="eastAsia" w:ascii="宋体" w:hAnsi="宋体"/>
          <w:color w:val="000000"/>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5.采购方式：公开招标</w:t>
      </w:r>
      <w:r/>
    </w:p>
    <w:p>
      <w:pPr>
        <w:ind w:firstLine="480"/>
        <w:spacing w:line="360" w:lineRule="auto"/>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360" w:lineRule="auto"/>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360" w:lineRule="auto"/>
        <w:rPr>
          <w:rFonts w:hint="eastAsia" w:eastAsia="宋体" w:cs="宋体" w:asciiTheme="minorEastAsia" w:hAnsiTheme="minorEastAsia"/>
          <w:sz w:val="24"/>
          <w:lang w:eastAsia="zh-CN"/>
        </w:rPr>
      </w:pPr>
      <w:r/>
      <w:bookmarkStart w:id="12" w:name="_Toc38985264"/>
      <w:r/>
      <w:bookmarkStart w:id="13" w:name="_Toc35393622"/>
      <w:r/>
      <w:bookmarkStart w:id="14" w:name="_Toc35393791"/>
      <w:r/>
      <w:bookmarkStart w:id="15" w:name="_Toc28359003"/>
      <w:r/>
      <w:bookmarkStart w:id="16" w:name="_Toc28359080"/>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lang w:val="en-US" w:eastAsia="zh-CN"/>
        </w:rPr>
        <w:t xml:space="preserve">是</w:t>
      </w:r>
      <w:r/>
    </w:p>
    <w:p>
      <w:pPr>
        <w:ind w:firstLine="480"/>
        <w:spacing w:line="360" w:lineRule="auto"/>
        <w:rPr>
          <w:rFonts w:hint="eastAsia" w:eastAsia="宋体" w:cs="宋体" w:asciiTheme="minorEastAsia" w:hAnsiTheme="minorEastAsia"/>
          <w:sz w:val="24"/>
          <w:lang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lang w:val="en-US" w:eastAsia="zh-CN"/>
        </w:rPr>
        <w:t xml:space="preserve">工业</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87"/>
        <w:ind w:firstLine="452"/>
        <w:keepLines w:val="0"/>
        <w:keepNext w:val="0"/>
        <w:spacing w:before="0" w:after="0" w:line="360" w:lineRule="auto"/>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38985265"/>
      <w:r/>
      <w:bookmarkStart w:id="18" w:name="_Toc35393623"/>
      <w:r/>
      <w:bookmarkStart w:id="19" w:name="_Toc35393792"/>
      <w:r/>
      <w:bookmarkStart w:id="20" w:name="_Toc28359081"/>
      <w:r/>
      <w:bookmarkStart w:id="21" w:name="_Toc28359004"/>
      <w:r>
        <w:rPr>
          <w:rFonts w:hint="eastAsia" w:ascii="宋体" w:hAnsi="宋体"/>
          <w:sz w:val="24"/>
          <w:szCs w:val="24"/>
        </w:rPr>
        <w:t xml:space="preserve">1.满足《中华人民共和国政府采购法》第二十二条规定；</w:t>
      </w:r>
      <w:r/>
    </w:p>
    <w:p>
      <w:pPr>
        <w:ind w:firstLine="480"/>
        <w:spacing w:line="360" w:lineRule="auto"/>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360" w:lineRule="auto"/>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：本项目专门面向中小企业，资格证明文件中必须提交《中小企业声明函》或《监狱企业证明文件》或《残疾人福利性单位声明函》；</w:t>
      </w:r>
      <w:r/>
    </w:p>
    <w:p>
      <w:pPr>
        <w:ind w:firstLine="480"/>
        <w:spacing w:line="360" w:lineRule="auto"/>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87"/>
        <w:ind w:firstLine="452"/>
        <w:keepLines w:val="0"/>
        <w:keepNext w:val="0"/>
        <w:spacing w:before="0" w:after="0" w:line="360" w:lineRule="auto"/>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360" w:lineRule="auto"/>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360" w:lineRule="auto"/>
        <w:rPr>
          <w:rStyle w:val="96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360" w:lineRule="auto"/>
        <w:rPr>
          <w:rFonts w:ascii="宋体" w:hAnsi="宋体"/>
          <w:bCs/>
          <w:sz w:val="24"/>
          <w:szCs w:val="24"/>
        </w:rPr>
      </w:pPr>
      <w:r>
        <w:rPr>
          <w:rFonts w:hint="eastAsia" w:ascii="宋体" w:hAnsi="宋体"/>
          <w:bCs/>
          <w:sz w:val="24"/>
          <w:szCs w:val="24"/>
        </w:rPr>
        <w:t xml:space="preserve">4.售价：本项目招标文件免费。</w:t>
      </w:r>
      <w:r/>
    </w:p>
    <w:p>
      <w:pPr>
        <w:pStyle w:val="887"/>
        <w:ind w:firstLine="452"/>
        <w:keepLines w:val="0"/>
        <w:keepNext w:val="0"/>
        <w:spacing w:before="0" w:after="0" w:line="360" w:lineRule="auto"/>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360" w:lineRule="auto"/>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 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10</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360" w:lineRule="auto"/>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87"/>
        <w:ind w:firstLine="452"/>
        <w:keepLines w:val="0"/>
        <w:keepNext w:val="0"/>
        <w:spacing w:before="0" w:after="0" w:line="360" w:lineRule="auto"/>
        <w:rPr>
          <w:sz w:val="30"/>
          <w:szCs w:val="30"/>
        </w:rPr>
      </w:pPr>
      <w:r/>
      <w:bookmarkStart w:id="27" w:name="_Toc35393625"/>
      <w:r/>
      <w:bookmarkStart w:id="28" w:name="_Toc28359007"/>
      <w:r/>
      <w:bookmarkStart w:id="29" w:name="_Toc38985267"/>
      <w:r/>
      <w:bookmarkStart w:id="30" w:name="_Toc35393794"/>
      <w:r/>
      <w:bookmarkStart w:id="31" w:name="_Toc28359084"/>
      <w:r>
        <w:rPr>
          <w:rFonts w:hint="eastAsia"/>
          <w:sz w:val="30"/>
          <w:szCs w:val="30"/>
        </w:rPr>
        <w:t xml:space="preserve">五、公告期限</w:t>
      </w:r>
      <w:bookmarkEnd w:id="27"/>
      <w:r/>
      <w:bookmarkEnd w:id="28"/>
      <w:r/>
      <w:bookmarkEnd w:id="29"/>
      <w:r/>
      <w:bookmarkEnd w:id="30"/>
      <w:r/>
      <w:bookmarkEnd w:id="31"/>
      <w:r/>
      <w:bookmarkStart w:id="207" w:name="_GoBack"/>
      <w:r/>
      <w:bookmarkEnd w:id="207"/>
      <w:r/>
      <w:r/>
    </w:p>
    <w:p>
      <w:pPr>
        <w:ind w:firstLine="480"/>
        <w:spacing w:line="360"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887"/>
        <w:ind w:firstLine="452"/>
        <w:keepLines w:val="0"/>
        <w:keepNext w:val="0"/>
        <w:spacing w:before="0" w:after="0" w:line="360" w:lineRule="auto"/>
        <w:rPr>
          <w:sz w:val="30"/>
          <w:szCs w:val="30"/>
        </w:rPr>
      </w:pPr>
      <w:r>
        <w:rPr>
          <w:rFonts w:hint="eastAsia"/>
          <w:sz w:val="30"/>
          <w:szCs w:val="30"/>
        </w:rPr>
        <w:t xml:space="preserve">六、其他补充事宜</w:t>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887"/>
        <w:ind w:firstLine="452"/>
        <w:keepLines w:val="0"/>
        <w:keepNext w:val="0"/>
        <w:spacing w:before="0" w:after="0" w:line="360" w:lineRule="auto"/>
        <w:rPr>
          <w:sz w:val="30"/>
          <w:szCs w:val="30"/>
        </w:rPr>
      </w:pPr>
      <w:r/>
      <w:bookmarkStart w:id="35" w:name="_Toc35393627"/>
      <w:r/>
      <w:bookmarkStart w:id="36" w:name="_Toc38985269"/>
      <w:r/>
      <w:bookmarkStart w:id="37" w:name="_Toc28359008"/>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rPr>
        <w:t xml:space="preserve">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lang w:eastAsia="zh-CN"/>
        </w:rPr>
        <w:t xml:space="preserve">项目咨询</w:t>
      </w:r>
      <w:r>
        <w:rPr>
          <w:rFonts w:hint="eastAsia" w:cs="宋体" w:asciiTheme="minorEastAsia" w:hAnsiTheme="minorEastAsia"/>
          <w:color w:val="000000" w:themeColor="text1"/>
          <w:sz w:val="24"/>
          <w:szCs w:val="24"/>
        </w:rPr>
        <w:t xml:space="preserve">联系人：许诺</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rPr>
        <w:t xml:space="preserve">联系电话：0510</w:t>
      </w:r>
      <w:r>
        <w:rPr>
          <w:rFonts w:hint="eastAsia" w:cs="宋体" w:asciiTheme="minorEastAsia" w:hAnsiTheme="minorEastAsia"/>
          <w:color w:val="000000" w:themeColor="text1"/>
          <w:sz w:val="24"/>
          <w:szCs w:val="24"/>
          <w:lang w:val="en-US" w:eastAsia="zh-CN"/>
        </w:rPr>
        <w:t xml:space="preserve">-</w:t>
      </w:r>
      <w:r>
        <w:rPr>
          <w:rFonts w:hint="eastAsia" w:cs="宋体" w:asciiTheme="minorEastAsia" w:hAnsiTheme="minorEastAsia"/>
          <w:color w:val="000000" w:themeColor="text1"/>
          <w:sz w:val="24"/>
          <w:szCs w:val="24"/>
        </w:rPr>
        <w:t xml:space="preserve">81178601</w:t>
      </w:r>
      <w:r>
        <w:rPr>
          <w:rFonts w:cs="宋体" w:asciiTheme="minorEastAsia" w:hAnsiTheme="minorEastAsia"/>
          <w:color w:val="000000" w:themeColor="text1"/>
          <w:sz w:val="24"/>
          <w:szCs w:val="24"/>
        </w:rPr>
      </w:r>
      <w:r/>
    </w:p>
    <w:p>
      <w:pPr>
        <w:ind w:firstLine="480"/>
        <w:jc w:val="left"/>
        <w:spacing w:line="360" w:lineRule="auto"/>
        <w:shd w:val="clear" w:color="auto" w:fill="ffffff"/>
        <w:widowControl/>
        <w:rPr>
          <w:rFonts w:hint="eastAsia" w:eastAsia="宋体" w:cs="宋体" w:asciiTheme="minorEastAsia" w:hAnsiTheme="minorEastAsia"/>
          <w:color w:val="000000" w:themeColor="text1"/>
          <w:sz w:val="24"/>
          <w:szCs w:val="24"/>
          <w:lang w:eastAsia="zh-CN"/>
        </w:rPr>
      </w:pPr>
      <w:r>
        <w:rPr>
          <w:rFonts w:hint="eastAsia" w:cs="宋体" w:asciiTheme="minorEastAsia" w:hAnsiTheme="minorEastAsia"/>
          <w:color w:val="000000" w:themeColor="text1"/>
          <w:sz w:val="24"/>
          <w:szCs w:val="24"/>
          <w:lang w:eastAsia="zh-CN"/>
        </w:rPr>
        <w:t xml:space="preserve">质疑受理联系人：</w:t>
      </w:r>
      <w:r>
        <w:rPr>
          <w:rFonts w:hint="eastAsia" w:cs="宋体" w:asciiTheme="minorEastAsia" w:hAnsiTheme="minorEastAsia"/>
          <w:color w:val="000000" w:themeColor="text1"/>
          <w:sz w:val="24"/>
          <w:szCs w:val="24"/>
        </w:rPr>
        <w:t xml:space="preserve">许诺</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rPr>
        <w:t xml:space="preserve">联系电话：0510</w:t>
      </w:r>
      <w:r>
        <w:rPr>
          <w:rFonts w:hint="eastAsia" w:cs="宋体" w:asciiTheme="minorEastAsia" w:hAnsiTheme="minorEastAsia"/>
          <w:color w:val="000000" w:themeColor="text1"/>
          <w:sz w:val="24"/>
          <w:szCs w:val="24"/>
          <w:lang w:val="en-US" w:eastAsia="zh-CN"/>
        </w:rPr>
        <w:t xml:space="preserve">-</w:t>
      </w:r>
      <w:r>
        <w:rPr>
          <w:rFonts w:hint="eastAsia" w:cs="宋体" w:asciiTheme="minorEastAsia" w:hAnsiTheme="minorEastAsia"/>
          <w:color w:val="000000" w:themeColor="text1"/>
          <w:sz w:val="24"/>
          <w:szCs w:val="24"/>
        </w:rPr>
        <w:t xml:space="preserve">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w:t>
      </w:r>
      <w:r>
        <w:rPr>
          <w:rFonts w:hint="eastAsia" w:cs="宋体" w:asciiTheme="minorEastAsia" w:hAnsiTheme="minorEastAsia"/>
          <w:color w:val="000000" w:themeColor="text1"/>
          <w:sz w:val="24"/>
          <w:szCs w:val="24"/>
          <w:lang w:val="en-US" w:eastAsia="zh-CN"/>
        </w:rPr>
        <w:t xml:space="preserve">无锡市</w:t>
      </w:r>
      <w:r>
        <w:rPr>
          <w:rFonts w:hint="eastAsia" w:cs="宋体" w:asciiTheme="minorEastAsia" w:hAnsiTheme="minorEastAsia"/>
          <w:color w:val="000000" w:themeColor="text1"/>
          <w:sz w:val="24"/>
          <w:szCs w:val="24"/>
        </w:rPr>
        <w:t xml:space="preserve">滨湖区金城西路500号</w:t>
      </w:r>
      <w:r/>
    </w:p>
    <w:p>
      <w:pPr>
        <w:pStyle w:val="887"/>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360" w:lineRule="auto"/>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ind w:firstLine="480"/>
        <w:spacing w:line="360" w:lineRule="auto"/>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bookmarkStart w:id="41" w:name="_Toc16938559"/>
      <w:r/>
      <w:bookmarkStart w:id="42" w:name="_Toc513029243"/>
      <w:r/>
      <w:bookmarkStart w:id="43" w:name="_Toc20823315"/>
      <w:r>
        <w:rPr>
          <w:rFonts w:hint="eastAsia" w:ascii="黑体" w:hAnsi="黑体" w:eastAsia="黑体"/>
          <w:color w:val="000000" w:themeColor="text1"/>
          <w:sz w:val="36"/>
          <w:szCs w:val="36"/>
          <w:highlight w:val="none"/>
        </w:rPr>
        <w:t xml:space="preserve">第二章  </w:t>
      </w:r>
      <w:bookmarkEnd w:id="40"/>
      <w:r/>
      <w:bookmarkStart w:id="44" w:name="_Toc120614213"/>
      <w:r/>
      <w:bookmarkStart w:id="45" w:name="_Toc513029202"/>
      <w:r/>
      <w:bookmarkStart w:id="46" w:name="_Toc20823274"/>
      <w:r/>
      <w:bookmarkStart w:id="47" w:name="_Toc16938518"/>
      <w:r>
        <w:rPr>
          <w:rFonts w:hint="eastAsia" w:ascii="黑体" w:hAnsi="黑体" w:eastAsia="黑体"/>
          <w:color w:val="000000" w:themeColor="text1"/>
          <w:sz w:val="36"/>
          <w:szCs w:val="36"/>
          <w:highlight w:val="none"/>
        </w:rPr>
        <w:t xml:space="preserve">投标人须知</w:t>
      </w:r>
      <w:bookmarkEnd w:id="44"/>
      <w:r/>
      <w:bookmarkEnd w:id="45"/>
      <w:r/>
      <w:bookmarkEnd w:id="46"/>
      <w:r/>
      <w:bookmarkEnd w:id="47"/>
      <w:r/>
      <w:r/>
    </w:p>
    <w:p>
      <w:pPr>
        <w:pStyle w:val="887"/>
        <w:ind w:firstLine="452"/>
        <w:keepLines w:val="0"/>
        <w:keepNext w:val="0"/>
        <w:spacing w:before="0" w:after="0" w:line="360" w:lineRule="auto"/>
        <w:rPr>
          <w:rFonts w:hint="eastAsia"/>
          <w:color w:val="000000" w:themeColor="text1"/>
          <w:sz w:val="30"/>
          <w:szCs w:val="30"/>
          <w:highlight w:val="none"/>
        </w:rPr>
      </w:pPr>
      <w:r/>
      <w:bookmarkStart w:id="48" w:name="_Toc513029203"/>
      <w:r/>
      <w:bookmarkStart w:id="49" w:name="_Toc20823275"/>
      <w:r/>
      <w:bookmarkStart w:id="50" w:name="_Toc120614214"/>
      <w:r/>
      <w:bookmarkStart w:id="51" w:name="_Toc16938519"/>
      <w:r>
        <w:rPr>
          <w:rFonts w:hint="eastAsia"/>
          <w:color w:val="000000" w:themeColor="text1"/>
          <w:sz w:val="30"/>
          <w:szCs w:val="30"/>
          <w:highlight w:val="none"/>
        </w:rPr>
        <w:t xml:space="preserve">一、总则</w:t>
      </w:r>
      <w:bookmarkEnd w:id="48"/>
      <w:r/>
      <w:bookmarkEnd w:id="49"/>
      <w:r/>
      <w:bookmarkEnd w:id="50"/>
      <w:r/>
      <w:bookmarkEnd w:id="51"/>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52" w:name="_Hlt16619475"/>
      <w:r/>
      <w:bookmarkEnd w:id="52"/>
      <w:r/>
      <w:bookmarkStart w:id="53" w:name="_Toc16938520"/>
      <w:r/>
      <w:bookmarkStart w:id="54" w:name="_Toc513029204"/>
      <w:r/>
      <w:bookmarkStart w:id="55" w:name="_Toc20823276"/>
      <w:r>
        <w:rPr>
          <w:rFonts w:hint="eastAsia" w:ascii="宋体" w:hAnsi="宋体" w:eastAsia="宋体"/>
          <w:bCs w:val="0"/>
          <w:color w:val="000000" w:themeColor="text1"/>
          <w:highlight w:val="none"/>
        </w:rPr>
        <w:t xml:space="preserve">1.招标方式</w:t>
      </w:r>
      <w:bookmarkEnd w:id="53"/>
      <w:r/>
      <w:bookmarkEnd w:id="54"/>
      <w:r/>
      <w:bookmarkEnd w:id="55"/>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56" w:name="_Toc20823277"/>
      <w:r/>
      <w:bookmarkStart w:id="57" w:name="_Toc16938521"/>
      <w:r/>
      <w:bookmarkStart w:id="58" w:name="_Toc513029205"/>
      <w:r>
        <w:rPr>
          <w:rFonts w:hint="eastAsia" w:ascii="宋体" w:hAnsi="宋体" w:eastAsia="宋体"/>
          <w:bCs w:val="0"/>
          <w:color w:val="000000" w:themeColor="text1"/>
          <w:highlight w:val="none"/>
        </w:rPr>
        <w:t xml:space="preserve">2.</w:t>
      </w:r>
      <w:bookmarkEnd w:id="56"/>
      <w:r/>
      <w:bookmarkEnd w:id="57"/>
      <w:r/>
      <w:bookmarkEnd w:id="58"/>
      <w:r>
        <w:rPr>
          <w:rFonts w:hint="eastAsia" w:ascii="宋体" w:hAnsi="宋体" w:eastAsia="宋体"/>
          <w:bCs w:val="0"/>
          <w:color w:val="000000" w:themeColor="text1"/>
          <w:highlight w:val="none"/>
        </w:rPr>
        <w:t xml:space="preserve">采购人、采购代理机构、投标人、联合体</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59" w:name="_Toc20823278"/>
      <w:r/>
      <w:bookmarkStart w:id="60" w:name="_Toc513029206"/>
      <w:r/>
      <w:bookmarkStart w:id="61" w:name="_Toc16938522"/>
      <w:r>
        <w:rPr>
          <w:rFonts w:hint="eastAsia" w:ascii="宋体" w:hAnsi="宋体" w:eastAsia="宋体"/>
          <w:bCs w:val="0"/>
          <w:color w:val="000000" w:themeColor="text1"/>
          <w:highlight w:val="none"/>
        </w:rPr>
        <w:t xml:space="preserve">3.适用法律</w:t>
      </w:r>
      <w:bookmarkEnd w:id="59"/>
      <w:r/>
      <w:bookmarkEnd w:id="60"/>
      <w:r/>
      <w:bookmarkEnd w:id="61"/>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62" w:name="_Toc462564067"/>
      <w:r/>
      <w:bookmarkStart w:id="63" w:name="_Toc513029207"/>
      <w:r/>
      <w:bookmarkStart w:id="64" w:name="_Toc20823279"/>
      <w:r/>
      <w:bookmarkStart w:id="65" w:name="_Toc16938523"/>
      <w:r>
        <w:rPr>
          <w:rFonts w:hint="eastAsia" w:ascii="宋体" w:hAnsi="宋体" w:eastAsia="宋体"/>
          <w:bCs w:val="0"/>
          <w:color w:val="000000" w:themeColor="text1"/>
          <w:highlight w:val="none"/>
        </w:rPr>
        <w:t xml:space="preserve">4.投标费用</w:t>
      </w:r>
      <w:bookmarkEnd w:id="62"/>
      <w:r/>
      <w:bookmarkEnd w:id="63"/>
      <w:r/>
      <w:bookmarkEnd w:id="64"/>
      <w:r/>
      <w:bookmarkEnd w:id="65"/>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87"/>
        <w:ind w:firstLine="452"/>
        <w:keepLines w:val="0"/>
        <w:keepNext w:val="0"/>
        <w:spacing w:before="0" w:after="0" w:line="360" w:lineRule="auto"/>
        <w:rPr>
          <w:rFonts w:hint="eastAsia"/>
          <w:color w:val="000000" w:themeColor="text1"/>
          <w:sz w:val="30"/>
          <w:szCs w:val="30"/>
          <w:highlight w:val="none"/>
        </w:rPr>
      </w:pPr>
      <w:r/>
      <w:bookmarkStart w:id="66" w:name="_Toc20823281"/>
      <w:r/>
      <w:bookmarkStart w:id="67" w:name="_Toc120614215"/>
      <w:r/>
      <w:bookmarkStart w:id="68" w:name="_Toc513029209"/>
      <w:r/>
      <w:bookmarkStart w:id="69" w:name="_Toc16938525"/>
      <w:r>
        <w:rPr>
          <w:rFonts w:hint="eastAsia"/>
          <w:color w:val="000000" w:themeColor="text1"/>
          <w:sz w:val="30"/>
          <w:szCs w:val="30"/>
          <w:highlight w:val="none"/>
        </w:rPr>
        <w:t xml:space="preserve">二、招标文件</w:t>
      </w:r>
      <w:bookmarkEnd w:id="66"/>
      <w:r/>
      <w:bookmarkEnd w:id="67"/>
      <w:r/>
      <w:bookmarkEnd w:id="68"/>
      <w:r/>
      <w:bookmarkEnd w:id="69"/>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70" w:name="_Toc20823282"/>
      <w:r/>
      <w:bookmarkStart w:id="71" w:name="_Toc513029210"/>
      <w:r/>
      <w:bookmarkStart w:id="72" w:name="_Toc16938526"/>
      <w:r>
        <w:rPr>
          <w:rFonts w:hint="eastAsia" w:ascii="宋体" w:hAnsi="宋体" w:eastAsia="宋体"/>
          <w:bCs w:val="0"/>
          <w:color w:val="000000" w:themeColor="text1"/>
          <w:highlight w:val="none"/>
        </w:rPr>
        <w:t xml:space="preserve">6.招标文件构成</w:t>
      </w:r>
      <w:bookmarkEnd w:id="70"/>
      <w:r/>
      <w:bookmarkEnd w:id="71"/>
      <w:r/>
      <w:bookmarkEnd w:id="72"/>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360" w:lineRule="auto"/>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73" w:name="_Toc20823283"/>
      <w:r/>
      <w:bookmarkStart w:id="74" w:name="_Toc513029211"/>
      <w:r/>
      <w:bookmarkStart w:id="75" w:name="_Toc16938527"/>
      <w:r/>
      <w:bookmarkStart w:id="76" w:name="_Toc462564070"/>
      <w:r>
        <w:rPr>
          <w:rFonts w:hint="eastAsia" w:ascii="宋体" w:hAnsi="宋体" w:eastAsia="宋体"/>
          <w:bCs w:val="0"/>
          <w:color w:val="000000" w:themeColor="text1"/>
          <w:highlight w:val="none"/>
        </w:rPr>
        <w:t xml:space="preserve">7.招标文件的澄清</w:t>
      </w:r>
      <w:bookmarkEnd w:id="73"/>
      <w:r/>
      <w:bookmarkEnd w:id="74"/>
      <w:r/>
      <w:bookmarkEnd w:id="75"/>
      <w:r/>
      <w:bookmarkEnd w:id="76"/>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77" w:name="_Toc16938528"/>
      <w:r/>
      <w:bookmarkStart w:id="78" w:name="_Toc513029212"/>
      <w:r/>
      <w:bookmarkStart w:id="79" w:name="_Toc462564071"/>
      <w:r/>
      <w:bookmarkStart w:id="80" w:name="_Toc20823284"/>
      <w:r>
        <w:rPr>
          <w:rFonts w:hint="eastAsia" w:ascii="宋体" w:hAnsi="宋体" w:eastAsia="宋体"/>
          <w:bCs w:val="0"/>
          <w:color w:val="000000" w:themeColor="text1"/>
          <w:highlight w:val="none"/>
        </w:rPr>
        <w:t xml:space="preserve">8.招标文件的修改</w:t>
      </w:r>
      <w:bookmarkEnd w:id="77"/>
      <w:r/>
      <w:bookmarkEnd w:id="78"/>
      <w:r/>
      <w:bookmarkEnd w:id="79"/>
      <w:r/>
      <w:bookmarkEnd w:id="80"/>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87"/>
        <w:ind w:firstLine="452"/>
        <w:keepLines w:val="0"/>
        <w:keepNext w:val="0"/>
        <w:spacing w:before="0" w:after="0" w:line="360" w:lineRule="auto"/>
        <w:rPr>
          <w:rFonts w:hint="eastAsia"/>
          <w:color w:val="000000" w:themeColor="text1"/>
          <w:sz w:val="30"/>
          <w:szCs w:val="30"/>
          <w:highlight w:val="none"/>
        </w:rPr>
      </w:pPr>
      <w:r/>
      <w:bookmarkStart w:id="81" w:name="_Toc120614216"/>
      <w:r/>
      <w:bookmarkStart w:id="82" w:name="_Toc513029213"/>
      <w:r/>
      <w:bookmarkStart w:id="83" w:name="_Toc20823285"/>
      <w:r/>
      <w:bookmarkStart w:id="84" w:name="_Toc16938529"/>
      <w:r/>
      <w:bookmarkStart w:id="85" w:name="_Toc462564072"/>
      <w:r>
        <w:rPr>
          <w:rFonts w:hint="eastAsia"/>
          <w:color w:val="000000" w:themeColor="text1"/>
          <w:sz w:val="30"/>
          <w:szCs w:val="30"/>
          <w:highlight w:val="none"/>
        </w:rPr>
        <w:t xml:space="preserve">三、投标文件的编制</w:t>
      </w:r>
      <w:bookmarkEnd w:id="81"/>
      <w:r/>
      <w:bookmarkEnd w:id="82"/>
      <w:r/>
      <w:bookmarkEnd w:id="83"/>
      <w:r/>
      <w:bookmarkEnd w:id="84"/>
      <w:r/>
      <w:bookmarkEnd w:id="85"/>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86" w:name="_Toc462564073"/>
      <w:r/>
      <w:bookmarkStart w:id="87" w:name="_Toc513029214"/>
      <w:r/>
      <w:bookmarkStart w:id="88" w:name="_Toc20823286"/>
      <w:r/>
      <w:bookmarkStart w:id="89" w:name="_Toc16938530"/>
      <w:r>
        <w:rPr>
          <w:rFonts w:hint="eastAsia" w:ascii="宋体" w:hAnsi="宋体" w:eastAsia="宋体"/>
          <w:bCs w:val="0"/>
          <w:color w:val="000000" w:themeColor="text1"/>
          <w:highlight w:val="none"/>
        </w:rPr>
        <w:t xml:space="preserve">9.投标文件的语言及度量衡单位</w:t>
      </w:r>
      <w:bookmarkEnd w:id="86"/>
      <w:r/>
      <w:bookmarkEnd w:id="87"/>
      <w:r/>
      <w:bookmarkEnd w:id="88"/>
      <w:r/>
      <w:bookmarkEnd w:id="89"/>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90" w:name="_Toc462564074"/>
      <w:r/>
      <w:bookmarkStart w:id="91" w:name="_Toc16938531"/>
      <w:r/>
      <w:bookmarkStart w:id="92" w:name="_Toc513029215"/>
      <w:r/>
      <w:bookmarkStart w:id="93" w:name="_Toc20823287"/>
      <w:r>
        <w:rPr>
          <w:rFonts w:hint="eastAsia" w:ascii="宋体" w:hAnsi="宋体" w:eastAsia="宋体"/>
          <w:bCs w:val="0"/>
          <w:color w:val="000000" w:themeColor="text1"/>
          <w:highlight w:val="none"/>
        </w:rPr>
        <w:t xml:space="preserve">10.投标文件构成</w:t>
      </w:r>
      <w:bookmarkEnd w:id="90"/>
      <w:r/>
      <w:bookmarkEnd w:id="91"/>
      <w:r/>
      <w:bookmarkEnd w:id="92"/>
      <w:r/>
      <w:bookmarkEnd w:id="93"/>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94" w:name="_Hlt26668975"/>
      <w:r/>
      <w:bookmarkEnd w:id="94"/>
      <w:r/>
      <w:bookmarkStart w:id="95" w:name="_Hlt26954838"/>
      <w:r/>
      <w:bookmarkEnd w:id="95"/>
      <w:r/>
      <w:bookmarkStart w:id="96" w:name="_Hlt26670360"/>
      <w:r/>
      <w:bookmarkEnd w:id="96"/>
      <w:r/>
      <w:bookmarkStart w:id="97" w:name="_Toc14577357"/>
      <w:r/>
      <w:bookmarkStart w:id="98" w:name="_Toc513029219"/>
      <w:r/>
      <w:bookmarkStart w:id="99" w:name="_Toc49090509"/>
      <w:r/>
      <w:bookmarkStart w:id="100" w:name="_Toc49090507"/>
      <w:r/>
      <w:bookmarkStart w:id="101" w:name="_Toc14577354"/>
      <w:r/>
      <w:bookmarkStart w:id="102" w:name="_Toc513029216"/>
      <w:r>
        <w:rPr>
          <w:rFonts w:hint="eastAsia" w:ascii="宋体" w:hAnsi="宋体" w:eastAsia="宋体"/>
          <w:bCs w:val="0"/>
          <w:color w:val="000000" w:themeColor="text1"/>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bCs/>
          <w:color w:val="000000" w:themeColor="text1"/>
          <w:sz w:val="24"/>
          <w:highlight w:val="none"/>
        </w:rPr>
      </w:pPr>
      <w:r/>
      <w:bookmarkStart w:id="103" w:name="_Toc14577355"/>
      <w:r/>
      <w:bookmarkStart w:id="104" w:name="_Toc49090508"/>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05" w:name="_Toc49090510"/>
      <w:r/>
      <w:bookmarkStart w:id="106" w:name="_Toc14577359"/>
      <w:r>
        <w:rPr>
          <w:rFonts w:hint="eastAsia" w:ascii="宋体" w:hAnsi="宋体" w:eastAsia="宋体"/>
          <w:bCs w:val="0"/>
          <w:color w:val="000000" w:themeColor="text1"/>
          <w:highlight w:val="none"/>
        </w:rPr>
        <w:t xml:space="preserve">12.投标函、承诺书和开标一览表</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3"/>
      <w:r/>
      <w:bookmarkEnd w:id="104"/>
      <w:r>
        <w:rPr>
          <w:rFonts w:hint="eastAsia" w:ascii="宋体" w:hAnsi="宋体" w:eastAsia="宋体"/>
          <w:bCs w:val="0"/>
          <w:color w:val="000000" w:themeColor="text1"/>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7" w:name="_Hlt26954840"/>
      <w:r/>
      <w:bookmarkEnd w:id="107"/>
      <w:r>
        <w:rPr>
          <w:rFonts w:hint="eastAsia" w:ascii="宋体" w:hAnsi="宋体"/>
          <w:color w:val="000000" w:themeColor="text1"/>
          <w:sz w:val="24"/>
          <w:highlight w:val="none"/>
        </w:rPr>
        <w:t xml:space="preserve">标人应按照招标文件规定格式填报</w:t>
      </w:r>
      <w:bookmarkStart w:id="108" w:name="_Hlt26670399"/>
      <w:r/>
      <w:bookmarkEnd w:id="108"/>
      <w:r>
        <w:rPr>
          <w:rFonts w:hint="eastAsia" w:ascii="宋体" w:hAnsi="宋体"/>
          <w:color w:val="000000" w:themeColor="text1"/>
          <w:sz w:val="24"/>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09" w:name="_Hlt26670403"/>
      <w:r/>
      <w:bookmarkEnd w:id="109"/>
      <w:r/>
      <w:bookmarkStart w:id="110" w:name="_Hlt26954848"/>
      <w:r/>
      <w:bookmarkEnd w:id="110"/>
      <w:r/>
      <w:bookmarkStart w:id="111" w:name="_Hlt26954731"/>
      <w:r/>
      <w:bookmarkEnd w:id="111"/>
      <w:r/>
      <w:bookmarkStart w:id="112" w:name="_Hlt26954844"/>
      <w:r/>
      <w:bookmarkEnd w:id="112"/>
      <w:r/>
      <w:bookmarkStart w:id="113" w:name="_Hlt26954842"/>
      <w:r/>
      <w:bookmarkEnd w:id="113"/>
      <w:r/>
      <w:bookmarkStart w:id="114" w:name="_Hlt26670482"/>
      <w:r/>
      <w:bookmarkEnd w:id="114"/>
      <w:r/>
      <w:bookmarkStart w:id="115" w:name="_Hlt26670425"/>
      <w:r/>
      <w:bookmarkEnd w:id="115"/>
      <w:r/>
      <w:bookmarkStart w:id="116" w:name="_Hlt26670486"/>
      <w:r/>
      <w:bookmarkEnd w:id="116"/>
      <w:r/>
      <w:bookmarkStart w:id="117" w:name="_Hlt26954846"/>
      <w:r/>
      <w:bookmarkEnd w:id="117"/>
      <w:r/>
      <w:bookmarkStart w:id="118" w:name="_Hlt26668983"/>
      <w:r/>
      <w:bookmarkEnd w:id="118"/>
      <w:r>
        <w:rPr>
          <w:rFonts w:hint="eastAsia" w:ascii="宋体" w:hAnsi="宋体" w:eastAsia="宋体"/>
          <w:bCs w:val="0"/>
          <w:color w:val="000000" w:themeColor="text1"/>
          <w:highlight w:val="none"/>
        </w:rPr>
        <w:t xml:space="preserve">14.投标偏离表</w:t>
      </w:r>
      <w:r/>
    </w:p>
    <w:p>
      <w:pPr>
        <w:ind w:firstLine="480"/>
        <w:spacing w:line="360" w:lineRule="auto"/>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19" w:name="_Hlt26954850"/>
      <w:r/>
      <w:bookmarkEnd w:id="119"/>
      <w:r/>
      <w:bookmarkStart w:id="120" w:name="_Hlt26670489"/>
      <w:r/>
      <w:bookmarkEnd w:id="120"/>
      <w:r/>
      <w:bookmarkStart w:id="121" w:name="_Hlt26954734"/>
      <w:r/>
      <w:bookmarkEnd w:id="121"/>
      <w:r/>
      <w:bookmarkStart w:id="122" w:name="_Toc49090511"/>
      <w:r/>
      <w:bookmarkStart w:id="123" w:name="_Toc14577360"/>
      <w:r>
        <w:rPr>
          <w:rFonts w:hint="eastAsia" w:ascii="宋体" w:hAnsi="宋体" w:eastAsia="宋体"/>
          <w:bCs w:val="0"/>
          <w:color w:val="000000" w:themeColor="text1"/>
          <w:highlight w:val="none"/>
        </w:rPr>
        <w:t xml:space="preserve">15.投标有效期</w:t>
      </w:r>
      <w:bookmarkEnd w:id="122"/>
      <w:r/>
      <w:bookmarkEnd w:id="123"/>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87"/>
        <w:ind w:firstLine="452"/>
        <w:keepLines w:val="0"/>
        <w:keepNext w:val="0"/>
        <w:spacing w:before="0" w:after="0" w:line="360" w:lineRule="auto"/>
        <w:rPr>
          <w:rFonts w:hint="eastAsia"/>
          <w:color w:val="000000" w:themeColor="text1"/>
          <w:sz w:val="30"/>
          <w:szCs w:val="30"/>
          <w:highlight w:val="none"/>
        </w:rPr>
      </w:pPr>
      <w:r/>
      <w:bookmarkStart w:id="124" w:name="_Hlt26954739"/>
      <w:r/>
      <w:bookmarkEnd w:id="124"/>
      <w:r/>
      <w:bookmarkStart w:id="125" w:name="_Hlt26954852"/>
      <w:r/>
      <w:bookmarkEnd w:id="125"/>
      <w:r/>
      <w:bookmarkStart w:id="126" w:name="_Toc120614217"/>
      <w:r/>
      <w:bookmarkStart w:id="127" w:name="_Toc20823296"/>
      <w:r/>
      <w:bookmarkStart w:id="128" w:name="_Toc513029224"/>
      <w:r/>
      <w:bookmarkStart w:id="129" w:name="_Toc16938540"/>
      <w:r>
        <w:rPr>
          <w:rFonts w:hint="eastAsia"/>
          <w:color w:val="000000" w:themeColor="text1"/>
          <w:sz w:val="30"/>
          <w:szCs w:val="30"/>
          <w:highlight w:val="none"/>
        </w:rPr>
        <w:t xml:space="preserve">四、投标文件的递交</w:t>
      </w:r>
      <w:bookmarkEnd w:id="126"/>
      <w:r/>
      <w:bookmarkEnd w:id="127"/>
      <w:r/>
      <w:bookmarkEnd w:id="128"/>
      <w:r/>
      <w:bookmarkEnd w:id="129"/>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30" w:name="_Toc16938541"/>
      <w:r/>
      <w:bookmarkStart w:id="131" w:name="_Toc513029225"/>
      <w:r/>
      <w:bookmarkStart w:id="132" w:name="_Toc20823297"/>
      <w:r/>
      <w:bookmarkStart w:id="133" w:name="_Toc462564084"/>
      <w:r>
        <w:rPr>
          <w:rFonts w:hint="eastAsia" w:ascii="宋体" w:hAnsi="宋体" w:eastAsia="宋体"/>
          <w:bCs w:val="0"/>
          <w:color w:val="000000" w:themeColor="text1"/>
          <w:highlight w:val="none"/>
        </w:rPr>
        <w:t xml:space="preserve">17.投标文件</w:t>
      </w:r>
      <w:bookmarkEnd w:id="130"/>
      <w:r/>
      <w:bookmarkEnd w:id="131"/>
      <w:r/>
      <w:bookmarkEnd w:id="132"/>
      <w:r/>
      <w:bookmarkEnd w:id="133"/>
      <w:r>
        <w:rPr>
          <w:rFonts w:hint="eastAsia" w:ascii="宋体" w:hAnsi="宋体" w:eastAsia="宋体"/>
          <w:bCs w:val="0"/>
          <w:color w:val="000000" w:themeColor="text1"/>
          <w:highlight w:val="none"/>
        </w:rPr>
        <w:t xml:space="preserve">的递交</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9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4" w:name="_Toc513029226"/>
      <w:r/>
      <w:bookmarkStart w:id="135" w:name="_Toc20823298"/>
      <w:r/>
      <w:bookmarkStart w:id="136" w:name="_Toc16938542"/>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4"/>
      <w:r/>
      <w:bookmarkEnd w:id="135"/>
      <w:r/>
      <w:bookmarkEnd w:id="136"/>
      <w:r>
        <w:rPr>
          <w:rFonts w:hint="eastAsia" w:ascii="宋体" w:hAnsi="宋体" w:eastAsia="宋体"/>
          <w:bCs w:val="0"/>
          <w:color w:val="000000" w:themeColor="text1"/>
          <w:highlight w:val="none"/>
        </w:rPr>
        <w:t xml:space="preserve">时间</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37" w:name="_Toc16938543"/>
      <w:r/>
      <w:bookmarkStart w:id="138" w:name="_Toc513029227"/>
      <w:r/>
      <w:bookmarkStart w:id="139" w:name="_Toc20823299"/>
      <w:r>
        <w:rPr>
          <w:rFonts w:hint="eastAsia" w:ascii="宋体" w:hAnsi="宋体" w:eastAsia="宋体"/>
          <w:bCs w:val="0"/>
          <w:color w:val="000000" w:themeColor="text1"/>
          <w:highlight w:val="none"/>
        </w:rPr>
        <w:t xml:space="preserve">19.投标文件</w:t>
      </w:r>
      <w:bookmarkEnd w:id="137"/>
      <w:r/>
      <w:bookmarkEnd w:id="138"/>
      <w:r/>
      <w:bookmarkEnd w:id="139"/>
      <w:r>
        <w:rPr>
          <w:rFonts w:hint="eastAsia" w:ascii="宋体" w:hAnsi="宋体" w:eastAsia="宋体"/>
          <w:bCs w:val="0"/>
          <w:color w:val="000000" w:themeColor="text1"/>
          <w:highlight w:val="none"/>
        </w:rPr>
        <w:t xml:space="preserve">的拒收</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40" w:name="_Toc513029228"/>
      <w:r/>
      <w:bookmarkStart w:id="141" w:name="_Toc16938544"/>
      <w:r/>
      <w:bookmarkStart w:id="142" w:name="_Toc20823300"/>
      <w:r>
        <w:rPr>
          <w:rFonts w:hint="eastAsia" w:ascii="宋体" w:hAnsi="宋体" w:eastAsia="宋体"/>
          <w:bCs w:val="0"/>
          <w:color w:val="000000" w:themeColor="text1"/>
          <w:highlight w:val="none"/>
        </w:rPr>
        <w:t xml:space="preserve">20.投标文件的撤回和修改</w:t>
      </w:r>
      <w:bookmarkEnd w:id="140"/>
      <w:r/>
      <w:bookmarkEnd w:id="141"/>
      <w:r/>
      <w:bookmarkEnd w:id="142"/>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87"/>
        <w:ind w:firstLine="452"/>
        <w:keepLines w:val="0"/>
        <w:keepNext w:val="0"/>
        <w:spacing w:before="0" w:after="0" w:line="360" w:lineRule="auto"/>
        <w:rPr>
          <w:rFonts w:hint="eastAsia"/>
          <w:color w:val="000000" w:themeColor="text1"/>
          <w:sz w:val="30"/>
          <w:szCs w:val="30"/>
          <w:highlight w:val="none"/>
        </w:rPr>
      </w:pPr>
      <w:r/>
      <w:bookmarkStart w:id="143" w:name="_Toc513029229"/>
      <w:r/>
      <w:bookmarkStart w:id="144" w:name="_Toc120614218"/>
      <w:r/>
      <w:bookmarkStart w:id="145" w:name="_Toc20823301"/>
      <w:r/>
      <w:bookmarkStart w:id="146" w:name="_Toc16938545"/>
      <w:r>
        <w:rPr>
          <w:rFonts w:hint="eastAsia"/>
          <w:color w:val="000000" w:themeColor="text1"/>
          <w:sz w:val="30"/>
          <w:szCs w:val="30"/>
          <w:highlight w:val="none"/>
        </w:rPr>
        <w:t xml:space="preserve">五、开标与评标</w:t>
      </w:r>
      <w:bookmarkEnd w:id="143"/>
      <w:r/>
      <w:bookmarkEnd w:id="144"/>
      <w:r/>
      <w:bookmarkEnd w:id="145"/>
      <w:r/>
      <w:bookmarkEnd w:id="146"/>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47" w:name="_Toc20823302"/>
      <w:r/>
      <w:bookmarkStart w:id="148" w:name="_Toc513029230"/>
      <w:r/>
      <w:bookmarkStart w:id="149" w:name="_Toc16938546"/>
      <w:r>
        <w:rPr>
          <w:rFonts w:hint="eastAsia" w:ascii="宋体" w:hAnsi="宋体" w:eastAsia="宋体"/>
          <w:bCs w:val="0"/>
          <w:color w:val="000000" w:themeColor="text1"/>
          <w:highlight w:val="none"/>
        </w:rPr>
        <w:t xml:space="preserve">21.开标</w:t>
      </w:r>
      <w:bookmarkEnd w:id="147"/>
      <w:r/>
      <w:bookmarkEnd w:id="148"/>
      <w:r/>
      <w:bookmarkEnd w:id="149"/>
      <w:r/>
      <w:r/>
    </w:p>
    <w:p>
      <w:pPr>
        <w:ind w:firstLine="480"/>
        <w:spacing w:line="360" w:lineRule="auto"/>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50" w:name="_Toc513029231"/>
      <w:r/>
      <w:bookmarkStart w:id="151" w:name="_Toc16938547"/>
      <w:r/>
      <w:bookmarkStart w:id="152" w:name="_Toc20823303"/>
      <w:r>
        <w:rPr>
          <w:rFonts w:hint="eastAsia" w:ascii="宋体" w:hAnsi="宋体" w:eastAsia="宋体"/>
          <w:bCs w:val="0"/>
          <w:color w:val="000000" w:themeColor="text1"/>
          <w:highlight w:val="none"/>
        </w:rPr>
        <w:t xml:space="preserve">22.评标委员会</w:t>
      </w:r>
      <w:r/>
    </w:p>
    <w:p>
      <w:pPr>
        <w:ind w:firstLine="480"/>
        <w:spacing w:line="360" w:lineRule="auto"/>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0"/>
      <w:r/>
      <w:bookmarkEnd w:id="151"/>
      <w:r/>
      <w:bookmarkEnd w:id="152"/>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53" w:name="_Toc16938548"/>
      <w:r/>
      <w:bookmarkStart w:id="154" w:name="_Toc20823304"/>
      <w:r/>
      <w:bookmarkStart w:id="155" w:name="_Toc513029232"/>
      <w:r>
        <w:rPr>
          <w:rFonts w:hint="eastAsia" w:ascii="宋体" w:hAnsi="宋体" w:eastAsia="宋体"/>
          <w:bCs w:val="0"/>
          <w:color w:val="000000" w:themeColor="text1"/>
          <w:highlight w:val="none"/>
        </w:rPr>
        <w:t xml:space="preserve">24.投标文件的澄清</w:t>
      </w:r>
      <w:bookmarkEnd w:id="153"/>
      <w:r/>
      <w:bookmarkEnd w:id="154"/>
      <w:r/>
      <w:bookmarkEnd w:id="155"/>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56" w:name="_Toc20823305"/>
      <w:r/>
      <w:bookmarkStart w:id="157" w:name="_Toc16938549"/>
      <w:r/>
      <w:bookmarkStart w:id="158" w:name="_Toc513029233"/>
      <w:r>
        <w:rPr>
          <w:rFonts w:hint="eastAsia" w:ascii="宋体" w:hAnsi="宋体" w:eastAsia="宋体"/>
          <w:bCs w:val="0"/>
          <w:color w:val="000000" w:themeColor="text1"/>
          <w:highlight w:val="none"/>
        </w:rPr>
        <w:t xml:space="preserve">25.对投标文件的初审</w:t>
      </w:r>
      <w:bookmarkEnd w:id="156"/>
      <w:r/>
      <w:bookmarkEnd w:id="157"/>
      <w:r/>
      <w:bookmarkEnd w:id="158"/>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360" w:lineRule="auto"/>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themeColor="text1"/>
          <w:sz w:val="24"/>
          <w:highlight w:val="none"/>
        </w:rPr>
      </w:pPr>
      <w:r/>
      <w:bookmarkStart w:id="159" w:name="_Toc16938550"/>
      <w:r/>
      <w:bookmarkStart w:id="160" w:name="_Toc513029234"/>
      <w:r/>
      <w:bookmarkStart w:id="161" w:name="_Toc20823306"/>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9"/>
      <w:r/>
      <w:bookmarkEnd w:id="160"/>
      <w:r/>
      <w:bookmarkEnd w:id="161"/>
      <w:r>
        <w:rPr>
          <w:rFonts w:hint="eastAsia" w:ascii="宋体" w:hAnsi="宋体" w:eastAsia="宋体"/>
          <w:bCs w:val="0"/>
          <w:color w:val="000000" w:themeColor="text1"/>
          <w:highlight w:val="none"/>
        </w:rPr>
        <w:t xml:space="preserve">.无效投标条款和废标条款</w:t>
      </w:r>
      <w:r/>
    </w:p>
    <w:p>
      <w:pPr>
        <w:ind w:left="479"/>
        <w:spacing w:line="360" w:lineRule="auto"/>
        <w:rPr>
          <w:rFonts w:hint="eastAsia" w:ascii="宋体" w:hAnsi="宋体"/>
          <w:bCs/>
          <w:color w:val="000000" w:themeColor="text1"/>
          <w:sz w:val="24"/>
          <w:highlight w:val="none"/>
        </w:rPr>
      </w:pPr>
      <w:r/>
      <w:bookmarkStart w:id="162" w:name="_Toc16938551"/>
      <w:r/>
      <w:bookmarkStart w:id="163" w:name="_Toc513029235"/>
      <w:r/>
      <w:bookmarkStart w:id="164" w:name="_Toc20823307"/>
      <w:r>
        <w:rPr>
          <w:rFonts w:hint="eastAsia" w:ascii="宋体" w:hAnsi="宋体"/>
          <w:bCs/>
          <w:color w:val="000000" w:themeColor="text1"/>
          <w:sz w:val="24"/>
          <w:highlight w:val="none"/>
        </w:rPr>
        <w:t xml:space="preserve">26.1无效投标条款</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87"/>
        <w:ind w:firstLine="452"/>
        <w:keepLines w:val="0"/>
        <w:keepNext w:val="0"/>
        <w:spacing w:before="0" w:after="0" w:line="360" w:lineRule="auto"/>
        <w:rPr>
          <w:rFonts w:hint="eastAsia"/>
          <w:color w:val="000000" w:themeColor="text1"/>
          <w:sz w:val="30"/>
          <w:szCs w:val="30"/>
          <w:highlight w:val="none"/>
        </w:rPr>
      </w:pPr>
      <w:r/>
      <w:bookmarkStart w:id="165" w:name="_Toc120614219"/>
      <w:r>
        <w:rPr>
          <w:rFonts w:hint="eastAsia"/>
          <w:color w:val="000000" w:themeColor="text1"/>
          <w:sz w:val="30"/>
          <w:szCs w:val="30"/>
          <w:highlight w:val="none"/>
        </w:rPr>
        <w:t xml:space="preserve">六、</w:t>
      </w:r>
      <w:bookmarkEnd w:id="162"/>
      <w:r/>
      <w:bookmarkEnd w:id="163"/>
      <w:r/>
      <w:bookmarkEnd w:id="164"/>
      <w:r>
        <w:rPr>
          <w:rFonts w:hint="eastAsia"/>
          <w:color w:val="000000" w:themeColor="text1"/>
          <w:sz w:val="30"/>
          <w:szCs w:val="30"/>
          <w:highlight w:val="none"/>
        </w:rPr>
        <w:t xml:space="preserve">定标</w:t>
      </w:r>
      <w:bookmarkEnd w:id="165"/>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66" w:name="_Toc513029238"/>
      <w:r/>
      <w:bookmarkStart w:id="167" w:name="_Toc16938554"/>
      <w:r/>
      <w:bookmarkStart w:id="168" w:name="_Toc20823310"/>
      <w:r>
        <w:rPr>
          <w:rFonts w:hint="eastAsia" w:ascii="宋体" w:hAnsi="宋体" w:eastAsia="宋体"/>
          <w:bCs w:val="0"/>
          <w:color w:val="000000" w:themeColor="text1"/>
          <w:highlight w:val="none"/>
        </w:rPr>
        <w:t xml:space="preserve">27</w:t>
      </w:r>
      <w:bookmarkEnd w:id="166"/>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7"/>
      <w:r/>
      <w:bookmarkEnd w:id="168"/>
      <w:r>
        <w:rPr>
          <w:rFonts w:hint="eastAsia" w:ascii="宋体" w:hAnsi="宋体" w:eastAsia="宋体"/>
          <w:bCs w:val="0"/>
          <w:color w:val="000000" w:themeColor="text1"/>
          <w:highlight w:val="none"/>
        </w:rPr>
        <w:t xml:space="preserve">中标单位</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360" w:lineRule="auto"/>
        <w:rPr>
          <w:rFonts w:hint="eastAsia" w:ascii="宋体" w:hAnsi="宋体"/>
          <w:color w:val="000000" w:themeColor="text1"/>
          <w:sz w:val="24"/>
          <w:szCs w:val="24"/>
          <w:highlight w:val="none"/>
        </w:rPr>
      </w:pPr>
      <w:r/>
      <w:bookmarkStart w:id="169"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9"/>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87"/>
        <w:ind w:firstLine="452"/>
        <w:keepLines w:val="0"/>
        <w:keepNext w:val="0"/>
        <w:spacing w:before="0" w:after="0" w:line="360" w:lineRule="auto"/>
        <w:rPr>
          <w:rFonts w:hint="eastAsia"/>
          <w:color w:val="000000" w:themeColor="text1"/>
          <w:sz w:val="30"/>
          <w:szCs w:val="30"/>
          <w:highlight w:val="none"/>
        </w:rPr>
      </w:pPr>
      <w:r/>
      <w:bookmarkStart w:id="170" w:name="_Toc120614220"/>
      <w:r/>
      <w:bookmarkStart w:id="171" w:name="_Toc513029236"/>
      <w:r/>
      <w:bookmarkStart w:id="172" w:name="_Toc16938552"/>
      <w:r/>
      <w:bookmarkStart w:id="173" w:name="_Toc20823308"/>
      <w:r>
        <w:rPr>
          <w:rFonts w:hint="eastAsia"/>
          <w:color w:val="000000" w:themeColor="text1"/>
          <w:sz w:val="30"/>
          <w:szCs w:val="30"/>
          <w:highlight w:val="none"/>
        </w:rPr>
        <w:t xml:space="preserve">七、授予合同</w:t>
      </w:r>
      <w:bookmarkEnd w:id="170"/>
      <w:r/>
      <w:bookmarkEnd w:id="171"/>
      <w:r/>
      <w:bookmarkEnd w:id="172"/>
      <w:r/>
      <w:bookmarkEnd w:id="173"/>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bookmarkStart w:id="174" w:name="_Toc20823309"/>
      <w:r/>
      <w:bookmarkStart w:id="175" w:name="_Toc513029237"/>
      <w:r/>
      <w:bookmarkStart w:id="176" w:name="_Toc16938553"/>
      <w:r>
        <w:rPr>
          <w:rFonts w:hint="eastAsia" w:ascii="宋体" w:hAnsi="宋体" w:eastAsia="宋体"/>
          <w:bCs w:val="0"/>
          <w:color w:val="000000" w:themeColor="text1"/>
          <w:highlight w:val="none"/>
        </w:rPr>
        <w:t xml:space="preserve">30.签订合同</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8"/>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bookmarkStart w:id="177" w:name="_Toc513029242"/>
      <w:r/>
      <w:bookmarkStart w:id="178" w:name="_Toc16938558"/>
      <w:r/>
      <w:bookmarkStart w:id="179" w:name="_Toc479757207"/>
      <w:r/>
      <w:bookmarkStart w:id="180" w:name="_Toc120614221"/>
      <w:r/>
      <w:bookmarkStart w:id="181" w:name="_Toc20823314"/>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highlight w:val="none"/>
        </w:rPr>
        <w:t xml:space="preserve">文本</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360" w:lineRule="auto"/>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360" w:lineRule="auto"/>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360" w:lineRule="auto"/>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360" w:lineRule="auto"/>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360" w:lineRule="auto"/>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360" w:lineRule="auto"/>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360" w:lineRule="auto"/>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360" w:lineRule="auto"/>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360" w:lineRule="auto"/>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360" w:lineRule="auto"/>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360" w:lineRule="auto"/>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360" w:lineRule="auto"/>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360" w:lineRule="auto"/>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360" w:lineRule="auto"/>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360" w:lineRule="auto"/>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360" w:lineRule="auto"/>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360" w:lineRule="auto"/>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360" w:lineRule="auto"/>
        <w:rPr>
          <w:rFonts w:ascii="宋体" w:hAnsi="宋体"/>
          <w:bCs/>
          <w:sz w:val="24"/>
          <w:szCs w:val="24"/>
        </w:rPr>
      </w:pPr>
      <w:r>
        <w:rPr>
          <w:rFonts w:ascii="宋体" w:hAnsi="宋体"/>
          <w:bCs/>
          <w:sz w:val="24"/>
          <w:szCs w:val="24"/>
        </w:rPr>
      </w:r>
      <w:r/>
    </w:p>
    <w:p>
      <w:pPr>
        <w:jc w:val="center"/>
        <w:spacing w:line="360" w:lineRule="auto"/>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41"/>
      <w:r/>
      <w:bookmarkEnd w:id="42"/>
      <w:r/>
      <w:bookmarkEnd w:id="43"/>
      <w:r/>
      <w:bookmarkStart w:id="182" w:name="_Hlt16619369"/>
      <w:r/>
      <w:bookmarkEnd w:id="182"/>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jc w:val="left"/>
        <w:keepLines w:val="0"/>
        <w:keepNext w:val="0"/>
        <w:pageBreakBefore w:val="0"/>
        <w:spacing w:line="360" w:lineRule="auto"/>
        <w:widowControl w:val="off"/>
        <w:rPr>
          <w:rFonts w:hint="eastAsia" w:ascii="宋体" w:hAnsi="宋体" w:eastAsia="宋体" w:cs="宋体"/>
          <w:color w:val="000000"/>
          <w:sz w:val="30"/>
          <w:szCs w:val="30"/>
        </w:rPr>
      </w:pPr>
      <w:r/>
      <w:bookmarkStart w:id="189" w:name="_Toc49090575"/>
      <w:r/>
      <w:bookmarkStart w:id="190" w:name="_Toc26554093"/>
      <w:r>
        <w:rPr>
          <w:rFonts w:hint="eastAsia" w:ascii="宋体" w:hAnsi="宋体" w:eastAsia="宋体" w:cs="宋体"/>
          <w:color w:val="000000"/>
          <w:sz w:val="30"/>
          <w:szCs w:val="30"/>
        </w:rPr>
        <w:t xml:space="preserve">本项目属性：货物类项目</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投标人所投内容必须满足以下要求，不得有负偏离。</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本项目标的物所属行业：</w:t>
      </w:r>
      <w:r>
        <w:rPr>
          <w:rFonts w:hint="eastAsia" w:ascii="宋体" w:hAnsi="宋体" w:eastAsia="宋体" w:cs="宋体"/>
          <w:bCs/>
          <w:color w:val="000000"/>
          <w:sz w:val="24"/>
          <w:szCs w:val="24"/>
          <w:lang w:val="en-US" w:eastAsia="zh-CN"/>
        </w:rPr>
        <w:t xml:space="preserve">工</w:t>
      </w:r>
      <w:r>
        <w:rPr>
          <w:rFonts w:hint="eastAsia" w:ascii="宋体" w:hAnsi="宋体" w:eastAsia="宋体" w:cs="宋体"/>
          <w:bCs/>
          <w:color w:val="000000"/>
          <w:sz w:val="24"/>
          <w:szCs w:val="24"/>
        </w:rPr>
        <w:t xml:space="preserve">业</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本项目中的</w:t>
      </w:r>
      <w:r>
        <w:rPr>
          <w:rFonts w:hint="eastAsia" w:ascii="宋体" w:hAnsi="宋体" w:eastAsia="宋体" w:cs="宋体"/>
          <w:b/>
          <w:bCs/>
          <w:color w:val="000000"/>
          <w:sz w:val="24"/>
          <w:szCs w:val="24"/>
        </w:rPr>
        <w:t xml:space="preserve">生涯智能空间</w:t>
      </w:r>
      <w:r>
        <w:rPr>
          <w:rFonts w:hint="eastAsia" w:ascii="宋体" w:hAnsi="宋体" w:eastAsia="宋体" w:cs="宋体"/>
          <w:b w:val="0"/>
          <w:bCs w:val="0"/>
          <w:color w:val="000000"/>
          <w:sz w:val="24"/>
          <w:szCs w:val="24"/>
        </w:rPr>
        <w:t xml:space="preserve">为核心产品。</w:t>
      </w:r>
      <w:r/>
    </w:p>
    <w:p>
      <w:pPr>
        <w:jc w:val="left"/>
        <w:keepLines w:val="0"/>
        <w:keepNext w:val="0"/>
        <w:pageBreakBefore w:val="0"/>
        <w:spacing w:line="360" w:lineRule="auto"/>
        <w:widowControl w:val="off"/>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第一部分  项目技术要求</w:t>
      </w:r>
      <w:r/>
    </w:p>
    <w:p>
      <w:pPr>
        <w:ind w:left="0" w:firstLine="468"/>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（一）项目概况：</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本项目为</w:t>
      </w:r>
      <w:r>
        <w:rPr>
          <w:rFonts w:hint="eastAsia" w:ascii="宋体" w:hAnsi="宋体" w:eastAsia="宋体" w:cs="宋体"/>
          <w:color w:val="000000"/>
          <w:sz w:val="24"/>
          <w:szCs w:val="24"/>
        </w:rPr>
        <w:t xml:space="preserve">省锡中滨湖分校生涯教育和心理健康装备采购项目</w:t>
      </w:r>
      <w:r>
        <w:rPr>
          <w:rFonts w:hint="eastAsia" w:ascii="宋体" w:hAnsi="宋体" w:eastAsia="宋体" w:cs="宋体"/>
          <w:sz w:val="24"/>
          <w:szCs w:val="24"/>
        </w:rPr>
        <w:t xml:space="preserve">，聚焦学生生涯教育与心理健康，构建课程、活动、咨询、家校协同体系，助力学生自我认知、生涯规划与心理调适，护航新校区学生全面健康成长。</w:t>
      </w:r>
      <w:r/>
    </w:p>
    <w:p>
      <w:pPr>
        <w:numPr>
          <w:ilvl w:val="0"/>
          <w:numId w:val="0"/>
        </w:numPr>
        <w:ind w:left="0" w:right="0" w:firstLine="468"/>
        <w:jc w:val="left"/>
        <w:keepLines w:val="0"/>
        <w:keepNext w:val="0"/>
        <w:pageBreakBefore w:val="0"/>
        <w:spacing w:line="360" w:lineRule="auto"/>
        <w:widowControl w:val="off"/>
        <w:tabs>
          <w:tab w:val="left" w:pos="0" w:leader="none"/>
        </w:tabs>
        <w:rPr>
          <w:rFonts w:hint="eastAsia" w:ascii="宋体" w:hAnsi="宋体" w:eastAsia="宋体" w:cs="宋体"/>
          <w:color w:val="000000"/>
          <w:sz w:val="24"/>
        </w:rPr>
      </w:pPr>
      <w:r>
        <w:rPr>
          <w:rFonts w:hint="eastAsia" w:ascii="宋体" w:hAnsi="宋体" w:eastAsia="宋体" w:cs="宋体"/>
          <w:spacing w:val="-3"/>
          <w:sz w:val="24"/>
          <w:szCs w:val="24"/>
        </w:rPr>
        <w:t xml:space="preserve">（二）</w:t>
      </w:r>
      <w:r>
        <w:rPr>
          <w:rFonts w:hint="eastAsia" w:ascii="宋体" w:hAnsi="宋体" w:eastAsia="宋体" w:cs="宋体"/>
          <w:color w:val="000000"/>
          <w:sz w:val="24"/>
        </w:rPr>
        <w:t xml:space="preserve">项目配置清单</w:t>
      </w:r>
      <w:r/>
    </w:p>
    <w:tbl>
      <w:tblPr>
        <w:tblStyle w:val="713"/>
        <w:tblW w:w="11160" w:type="dxa"/>
        <w:tblInd w:w="-84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0"/>
        <w:gridCol w:w="735"/>
        <w:gridCol w:w="975"/>
        <w:gridCol w:w="6345"/>
        <w:gridCol w:w="495"/>
        <w:gridCol w:w="450"/>
        <w:gridCol w:w="1650"/>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功能区域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产品参数</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p>
        </w:tc>
      </w:tr>
      <w:tr>
        <w:trPr>
          <w:trHeight w:val="620"/>
        </w:trPr>
        <w:tc>
          <w:tcPr>
            <w:gridSpan w:val="7"/>
            <w:shd w:val="clear" w:color="auto" w:fill="auto"/>
            <w:tcBorders>
              <w:top w:val="single" w:color="000000" w:sz="4" w:space="0"/>
              <w:left w:val="single" w:color="000000" w:sz="4" w:space="0"/>
              <w:bottom w:val="single" w:color="000000" w:sz="4" w:space="0"/>
              <w:right w:val="single" w:color="000000" w:sz="4" w:space="0"/>
            </w:tcBorders>
            <w:tcW w:w="11160" w:type="dxa"/>
            <w:vAlign w:val="center"/>
            <w:textDirection w:val="lrTb"/>
            <w:noWrap w:val="false"/>
          </w:tcPr>
          <w:p>
            <w:pPr>
              <w:jc w:val="both"/>
              <w:keepLines w:val="0"/>
              <w:keepNext w:val="0"/>
              <w:spacing w:line="360" w:lineRule="auto"/>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一、非信息化部分</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团队介绍文化展示墙</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1.产品尺寸：≥2800*1500，具体根据现场实际尺寸定制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2.产品内容：至少包含生涯、心理教师团队介绍，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4产品材质：雪弗板、亚克力UV</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wp:posOffset>
                      </wp:positionH>
                      <wp:positionV relativeFrom="paragraph">
                        <wp:posOffset>62230</wp:posOffset>
                      </wp:positionV>
                      <wp:extent cx="848360" cy="10236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48360" cy="102362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1pt;mso-position-horizontal:absolute;mso-position-vertical-relative:text;margin-top:4.9pt;mso-position-vertical:absolute;width:66.8pt;height:80.6pt;mso-wrap-distance-left:9.0pt;mso-wrap-distance-top:0.0pt;mso-wrap-distance-right:9.0pt;mso-wrap-distance-bottom:0.0pt;" stroked="f">
                      <v:path textboxrect="0,0,0,0"/>
                      <v:imagedata r:id="rId13" o:title=""/>
                    </v:shape>
                  </w:pict>
                </mc:Fallback>
              </mc:AlternateConten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霍兰德地贴（定制设计）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产品内容：根据学生发展中心建设及场地情况，具体内容需根据采购方要求定制。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1.产品尺寸：≥2000mm*2000mm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霍兰德职业兴趣类型理论知识，六大兴趣类型特质介绍。普及职业兴趣类型知识，帮助学生剖析自我个性，寻求职业兴趣。帮助学生找到适合自己的专业、职业和努力方向；聚焦于可以带给我们“高峰体验”的活动和工作；充分发挥个人才能，创造性地学习和工作，提高学习、工作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4.产品材质：户外地贴膜</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55880</wp:posOffset>
                      </wp:positionH>
                      <wp:positionV relativeFrom="paragraph">
                        <wp:posOffset>436245</wp:posOffset>
                      </wp:positionV>
                      <wp:extent cx="873125" cy="9829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73125" cy="9829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4pt;mso-position-horizontal:absolute;mso-position-vertical-relative:text;margin-top:34.4pt;mso-position-vertical:absolute;width:68.8pt;height:77.4pt;mso-wrap-distance-left:9.0pt;mso-wrap-distance-top:0.0pt;mso-wrap-distance-right:9.0pt;mso-wrap-distance-bottom:0.0pt;" stroked="f">
                      <v:path textboxrect="0,0,0,0"/>
                      <v:imagedata r:id="rId1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自我认知磁性教具吸附套装</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一、兴趣认知磁卡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2.数量：共不少于60张卡片，其中不少于50张内容卡片，5张定义卡片，5张分组卡片，1份使用说明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3.单张尺寸约：长150mmm宽105mm，厚度0.8mm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用于生涯课程学生的自主探索与小组活动，以及对学生的生涯辅导。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二、能力认知磁卡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2.数量：共不少于48张卡片，其中不少于40张内容卡片，8张分组卡片，1分使用说明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3.单张尺寸约：长148mmm宽105mm，厚度0.8mm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用于生涯课程学生的自主探索与小组活动，以及对学生的生涯辅导。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三、决策风格分类磁卡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2.数量：不少于35张卡片,其中不少于：25张内容卡片，4张定义卡片，5张分组卡片，1份使用说明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3.单张尺寸约：长148mmm宽105mm，厚度0.8mm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用于生涯课程学生的自主探索与小组活动，以及对学生的生涯辅导。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用于学生拓展外部世界探索方法的工具。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四、外部探索方法分类磁卡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2.数量：不少于45张卡片，其中不少于35张内容卡片，4张定义卡片，5张分组卡片，1份使用说明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3.单张尺寸约：长148mmm宽105mm，厚度0.8mm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用于生涯课程学生的自主探索与小组活动，以及对学生的生涯辅导。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用于学生拓展外部世界探索方法的工具。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五、学职群分类磁卡（专业探索）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2.数量：不少于125张卡片，其中不少于116张内容卡片，8张分组卡片，1份使用说明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3.单张尺寸约：长150mmm宽105mm，厚度0.8mm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用于生涯课程学生的自主探索与小组活动，以及对学生的生涯辅导。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六、休闲活动分类磁卡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2.数量：不少于共80张卡片，其中不少于63张内容卡片，8张定义卡片，8张分组卡片，1份使用说明书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3.单张尺寸约：长148mmm宽105mm，厚度0.8mm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4.功能：用于生涯课程学生的自主探索与小组活动，以及对学生的生涯辅导。用于学生探索与发展休闲活动的工具。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七、价值观分类磁卡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2.数量：不少于50张卡片，其中不少于40张内容卡片，2张空白卡片，5张分组卡片，1份使用说明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3.单张尺寸约：长150mmm宽105mm，厚度0.8mm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用于生涯课程学生的自主探索与小组活动，以及对学生的生涯辅导。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用于学生探索个人职业价值观的工具。</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个体辅导室1/沙盘室（13㎡）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教室门牌（定制设计）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标注教室名称的门牌。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2.产品尺寸：≥250mm*250mm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193675</wp:posOffset>
                      </wp:positionV>
                      <wp:extent cx="838200" cy="83629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38200" cy="83629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pt;mso-position-horizontal:absolute;mso-position-vertical-relative:text;margin-top:15.2pt;mso-position-vertical:absolute;width:66.0pt;height:65.8pt;mso-wrap-distance-left:9.0pt;mso-wrap-distance-top:0.0pt;mso-wrap-distance-right:9.0pt;mso-wrap-distance-bottom:0.0pt;" stroked="f">
                      <v:path textboxrect="0,0,0,0"/>
                      <v:imagedata r:id="rId15"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生涯挂图（定制设计）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1.产品尺寸：≥600mm*800mm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需至少包含生涯知识，包括生涯彩虹图、生涯规划步骤、学习风格、多元智能霍兰德兴趣等关于生涯理论知识的挂图。生涯名人名言，需包含古今中外生涯心理大师们的名言，如金树人、舒伯、弗朗西斯·培根。升学路径，需包含普通类、特殊类、军事类等一些大学招生的详细规则。学校生涯教育成果展示（需支持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4.产品材质：需至少包含户外写真哑膜、亚克力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wp:posOffset>
                      </wp:positionH>
                      <wp:positionV relativeFrom="paragraph">
                        <wp:posOffset>309880</wp:posOffset>
                      </wp:positionV>
                      <wp:extent cx="888365" cy="69723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8365" cy="6972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1pt;mso-position-horizontal:absolute;mso-position-vertical-relative:text;margin-top:24.4pt;mso-position-vertical:absolute;width:70.0pt;height:54.9pt;mso-wrap-distance-left:9.0pt;mso-wrap-distance-top:0.0pt;mso-wrap-distance-right:9.0pt;mso-wrap-distance-bottom:0.0pt;" stroked="f">
                      <v:path textboxrect="0,0,0,0"/>
                      <v:imagedata r:id="rId16" o:title=""/>
                    </v:shape>
                  </w:pict>
                </mc:Fallback>
              </mc:AlternateContent>
            </w:r>
            <w:r/>
          </w:p>
        </w:tc>
      </w:tr>
      <w:tr>
        <w:trPr>
          <w:trHeight w:val="341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沙盘套装</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心理沙盘硬件组成需至少包含沙具1500件、个体沙箱2个、陈列架3个、海沙30公斤、心理指导手册1本、沙盘管理系统1套、辅助工具1套（沙刷、沙耙、沙框、洒水壶）。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沙具需满足：由大到小四级分类全面深入，包括人物、建筑物、动物、植物、食品果实、家具生活用品、交通工具、自然景观等不少于8大类、55小类。每个沙具类别下包括各种原型象征物；需使用符合国家标准的环保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②个体防水实木沙箱需满足：≥57×72×7cm；沙箱腿：高度≥65cm，材质：实木，干湿两用。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③陈列架需满足： ≥1600×800×300mm。材质：实木，设计美观大方，手感光滑。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④天然海沙需满足：优质海沙，大小范围：10目-15目，颗粒均匀、色泽柔和、清洁卫生。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⑤心理沙盘需具备心理教育、心理咨询、心理辅导的管理软件。该软件可支持存储记录在沙盘游戏过程中的图片和视频资料。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心理沙盘管理系统需至少包含以下内容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①可支持添加完整的个人信息；将个体沙盘作品进行上传，内容至少包含沙盘主题，个人信息，沙盘图片、视频，以及老师咨询问题和过程解读备注。（提供相关检测报告进行佐证）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 可支持团体沙盘管理：批量增加来访者；将团体沙盘作品进行上传，内容至少包括沙盘主题，团队信息，沙盘图片、视频，以及老师咨询问题和过程解读备注。（提供相关检测报告进行佐证）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系统需内置沙盘教学视频，包括：沙盘游戏的运用、展沙盘游戏工作基本条件、空间及规则设置、操作性意义、心理分析与沙盘游戏咨询（基本原理与临床运用发展）、理解沙盘游戏技术（基本原理、内涵与运用）、积极想象的原理与内涵及步骤。（提供相关检测报告进行佐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④可支持查询管理：可根据各条件进行个体、团体，或时间段内的作品查询。（提供相关检测报告进行佐证）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⑤可支持数据保护：具备数据备份和还原功能。（提供相关检测报告进行佐证）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⑥沙盘象征包括：建筑物、文化宗教、自然景观、人物意义、动物意义、植物意义、交通工具、神话传说、其他物品和事件意义。 （提供相关检测报告进行佐证）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建筑物包括：房屋、商业场所、城堡、连接物和障碍物等；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文化宗教包括：僧侣、法师和古代的神等；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自然景观包括：森林、山岳、山谷、水、湖泊、沙漠、山洞和石头等；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人物意义包括：普通人物、老人、儿童、运动员、战士、文娱演员、机器人、卡通人物 和陌生人等；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动物意义包括：小狗、凤凰、鹰、猫头鹰、鸿子、鹌鹑、蝙蝠、蝴蝶、蜘蛛等；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植物意义包括：松树、果树、花卉、牡丹、莲花和草等；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交通工具包括：汽车、自行车、火车、船、飞机和军用车辆等；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神话传说包括：三皇五帝、女娲补天、死亡之神阎罗王、哪吒、钟馗、八仙过海、战神雅典娜和童话故事中的白雪公主、圣诞老人、灰姑娘等；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其他物品包括：照明物、乐器、食物、家具、镜子、伞、武器、成瘾和医疗药物及物件和多用途材料等；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事件意义包括： 战争、旅行和交流等；</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文化窗帘（定制设计）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印有文化内容的窗帘，含窗帘配套装置。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1.产品主题内容：包含生涯/心理/steam/艺术等相关内容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3.产品材质：PVC、铝合金、万向密珠</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-13334</wp:posOffset>
                      </wp:positionH>
                      <wp:positionV relativeFrom="paragraph">
                        <wp:posOffset>80645</wp:posOffset>
                      </wp:positionV>
                      <wp:extent cx="932815" cy="9645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2815" cy="964564"/>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pt;mso-position-horizontal:absolute;mso-position-vertical-relative:text;margin-top:6.3pt;mso-position-vertical:absolute;width:73.5pt;height:76.0pt;mso-wrap-distance-left:9.0pt;mso-wrap-distance-top:0.0pt;mso-wrap-distance-right:9.0pt;mso-wrap-distance-bottom:0.0pt;" stroked="f">
                      <v:path textboxrect="0,0,0,0"/>
                      <v:imagedata r:id="rId17"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个体辅导室2/放松室（12㎡）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教室门牌（定制设计）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标注教室名称的门牌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2.产品尺寸：≥250mm*250mm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wp:posOffset>
                      </wp:positionH>
                      <wp:positionV relativeFrom="paragraph">
                        <wp:posOffset>117475</wp:posOffset>
                      </wp:positionV>
                      <wp:extent cx="838200" cy="8362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38200" cy="83629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9pt;mso-position-horizontal:absolute;mso-position-vertical-relative:text;margin-top:9.2pt;mso-position-vertical:absolute;width:66.0pt;height:65.8pt;mso-wrap-distance-left:9.0pt;mso-wrap-distance-top:0.0pt;mso-wrap-distance-right:9.0pt;mso-wrap-distance-bottom:0.0pt;" stroked="f">
                      <v:path textboxrect="0,0,0,0"/>
                      <v:imagedata r:id="rId15" o:title=""/>
                    </v:shape>
                  </w:pict>
                </mc:Fallback>
              </mc:AlternateConten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个辅室文化布置墙布（定制设计）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1.产品内容：根据学生发展中心建设及场地情况。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4.尺寸：≥3300*3000</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wp:posOffset>
                      </wp:positionH>
                      <wp:positionV relativeFrom="paragraph">
                        <wp:posOffset>104140</wp:posOffset>
                      </wp:positionV>
                      <wp:extent cx="588645" cy="94742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8645" cy="94742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5.4pt;mso-position-horizontal:absolute;mso-position-vertical-relative:text;margin-top:8.2pt;mso-position-vertical:absolute;width:46.3pt;height:74.6pt;mso-wrap-distance-left:9.0pt;mso-wrap-distance-top:0.0pt;mso-wrap-distance-right:9.0pt;mso-wrap-distance-bottom:0.0pt;" stroked="f">
                      <v:path textboxrect="0,0,0,0"/>
                      <v:imagedata r:id="rId18"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生涯挂图（定制设计）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1.产品尺寸：≥600mm*800mm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需至少包含生涯知识，包括生涯彩虹图、生涯规划步骤、学习风格、多元智能霍兰德兴趣等关于生涯理论知识的挂图。生涯名人名言，需包含古今中外生涯心理大师们的名言，如金树人、舒伯、弗朗西斯·培根。升学路径，需包含普通类、特殊类、军事类等一些大学招生的详细规则。学校生涯教育成果展示（需支持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4.产品材质：需至少包含户外写真哑膜、亚克力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102870</wp:posOffset>
                      </wp:positionH>
                      <wp:positionV relativeFrom="paragraph">
                        <wp:posOffset>498475</wp:posOffset>
                      </wp:positionV>
                      <wp:extent cx="582295" cy="71056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82295" cy="7105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8.1pt;mso-position-horizontal:absolute;mso-position-vertical-relative:text;margin-top:39.2pt;mso-position-vertical:absolute;width:45.8pt;height:55.9pt;mso-wrap-distance-left:9.0pt;mso-wrap-distance-top:0.0pt;mso-wrap-distance-right:9.0pt;mso-wrap-distance-bottom:0.0pt;" stroked="f">
                      <v:path textboxrect="0,0,0,0"/>
                      <v:imagedata r:id="rId19"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文化窗帘（定制设计）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pageBreakBefore w:val="0"/>
              <w:spacing w:afterAutospacing="0"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印有文化内容的窗帘，含窗帘配套装置。</w:t>
            </w:r>
            <w:r/>
          </w:p>
          <w:p>
            <w:pPr>
              <w:jc w:val="left"/>
              <w:keepLines w:val="0"/>
              <w:keepNext w:val="0"/>
              <w:pageBreakBefore w:val="0"/>
              <w:spacing w:afterAutospacing="0"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1.产品主题内容：包含生涯/心理/steam/艺术等相关内容</w:t>
            </w:r>
            <w:r/>
          </w:p>
          <w:p>
            <w:pPr>
              <w:jc w:val="left"/>
              <w:keepLines w:val="0"/>
              <w:keepNext w:val="0"/>
              <w:pageBreakBefore w:val="0"/>
              <w:spacing w:afterAutospacing="0"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2.需包含视觉设计、版式优化及效果呈现等全流程服务（包括文化内容研发、文化内容设计、材料制作、现场安装实施）</w:t>
            </w:r>
            <w:r/>
          </w:p>
          <w:p>
            <w:pPr>
              <w:jc w:val="left"/>
              <w:keepLines w:val="0"/>
              <w:keepNext w:val="0"/>
              <w:pageBreakBefore w:val="0"/>
              <w:spacing w:afterAutospacing="0"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3.产品材质：PVC、铝合金、万向密珠</w:t>
            </w:r>
            <w:r/>
          </w:p>
          <w:p>
            <w:pPr>
              <w:jc w:val="left"/>
              <w:keepLines w:val="0"/>
              <w:keepNext w:val="0"/>
              <w:pageBreakBefore w:val="0"/>
              <w:spacing w:afterAutospacing="0"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4.学校生涯教育成果展示（需支持定制）。</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wp:posOffset>
                      </wp:positionH>
                      <wp:positionV relativeFrom="paragraph">
                        <wp:posOffset>36195</wp:posOffset>
                      </wp:positionV>
                      <wp:extent cx="932815" cy="96456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2815" cy="964564"/>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3pt;mso-position-horizontal:absolute;mso-position-vertical-relative:text;margin-top:2.8pt;mso-position-vertical:absolute;width:73.5pt;height:76.0pt;mso-wrap-distance-left:9.0pt;mso-wrap-distance-top:0.0pt;mso-wrap-distance-right:9.0pt;mso-wrap-distance-bottom:0.0pt;" stroked="f">
                      <v:path textboxrect="0,0,0,0"/>
                      <v:imagedata r:id="rId17"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落地台灯</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1.产品尺寸：≥225*35*1400mm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2.产品材质：不锈钢;白色喷漆。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心理文化展示墙（定制设计）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1.产品内容：根据学生发展中心建设及场地情况，心理主题文化。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3.产品材质：雪弗板+亚克力UV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4.尺寸：≥3000*1500</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-12699</wp:posOffset>
                      </wp:positionH>
                      <wp:positionV relativeFrom="paragraph">
                        <wp:posOffset>169545</wp:posOffset>
                      </wp:positionV>
                      <wp:extent cx="879475" cy="83693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79475" cy="8369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0pt;mso-position-horizontal:absolute;mso-position-vertical-relative:text;margin-top:13.3pt;mso-position-vertical:absolute;width:69.2pt;height:65.9pt;mso-wrap-distance-left:9.0pt;mso-wrap-distance-top:0.0pt;mso-wrap-distance-right:9.0pt;mso-wrap-distance-bottom:0.0pt;" stroked="f">
                      <v:path textboxrect="0,0,0,0"/>
                      <v:imagedata r:id="rId20" o:title=""/>
                    </v:shape>
                  </w:pict>
                </mc:Fallback>
              </mc:AlternateConten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办公室（16.5㎡）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教室门牌（定制设计）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标注教室名称的门牌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2.产品尺寸：≥250mm*250mm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128270</wp:posOffset>
                      </wp:positionV>
                      <wp:extent cx="838200" cy="83629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38200" cy="83629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2pt;mso-position-horizontal:absolute;mso-position-vertical-relative:text;margin-top:10.1pt;mso-position-vertical:absolute;width:66.0pt;height:65.8pt;mso-wrap-distance-left:9.0pt;mso-wrap-distance-top:0.0pt;mso-wrap-distance-right:9.0pt;mso-wrap-distance-bottom:0.0pt;" stroked="f">
                      <v:path textboxrect="0,0,0,0"/>
                      <v:imagedata r:id="rId15"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文化窗帘（定制设计）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印有文化内容的窗帘，需包含学校生涯教育成果展示（支持定制），含窗帘配套装置。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1.产品主题内容：包含生涯/心理/steam/艺术等相关内容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3.产品材质：PVC、铝合金、万向密珠</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wp:posOffset>
                      </wp:positionH>
                      <wp:positionV relativeFrom="paragraph">
                        <wp:posOffset>164465</wp:posOffset>
                      </wp:positionV>
                      <wp:extent cx="932815" cy="9645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2815" cy="964564"/>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3.5pt;mso-position-horizontal:absolute;mso-position-vertical-relative:text;margin-top:12.9pt;mso-position-vertical:absolute;width:73.5pt;height:76.0pt;mso-wrap-distance-left:9.0pt;mso-wrap-distance-top:0.0pt;mso-wrap-distance-right:9.0pt;mso-wrap-distance-bottom:0.0pt;" stroked="f">
                      <v:path textboxrect="0,0,0,0"/>
                      <v:imagedata r:id="rId17"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宣泄室（10㎡）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宣泄器材（基础版）</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1、宣泄人总高度：160CM-180CM，支持高度调节；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（1）主题高度：≥90CM;肩宽≥50CM；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（2）颜色：蓝色；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（3）重量：≥20KG；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（4）产品设计：全硅胶材质，造型美观，弹性可以模拟人体肌肉，具备健身训练和减压阀的多重功能。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（5）可击打发声，利用低电压震动系统，能够在极低的震动下做出响应，来访者在击打的时候可以随机发出不少于7种不同的幽默语句，提高趣味性。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（6）底座：注沙底座。筒式吸盘抓地设计，配备不少于8个吸盘，安装方便。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2、立式宣泄球（2个）， 产品材质：落地式。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3、宣泄棒：≥2根，PVC材质一体成型。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4、宣泄手套：≥3套。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5、宣泄抱枕：≥2个。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6、宣泄面罩：≥10个。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7、宣泄挂图，≥4幅，PVC材质。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8、宣泄室制度，≥1幅，PVC材质。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教室门牌（定制设计）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标注教室名称的门牌，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2.产品尺寸：≥250mm*250mm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wp:posOffset>
                      </wp:positionH>
                      <wp:positionV relativeFrom="paragraph">
                        <wp:posOffset>108585</wp:posOffset>
                      </wp:positionV>
                      <wp:extent cx="838200" cy="83629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38200" cy="83629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1pt;mso-position-horizontal:absolute;mso-position-vertical-relative:text;margin-top:8.5pt;mso-position-vertical:absolute;width:66.0pt;height:65.8pt;mso-wrap-distance-left:9.0pt;mso-wrap-distance-top:0.0pt;mso-wrap-distance-right:9.0pt;mso-wrap-distance-bottom:0.0pt;" stroked="f">
                      <v:path textboxrect="0,0,0,0"/>
                      <v:imagedata r:id="rId15"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文化窗帘（定制设计）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印有文化内容的窗帘，含窗帘配套装置。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1.产品主题内容：包含生涯/心理/steam/艺术、学校生涯教育成果展示等相关内容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3.产品材质：PVC、铝合金、万向密珠</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-6349</wp:posOffset>
                      </wp:positionH>
                      <wp:positionV relativeFrom="paragraph">
                        <wp:posOffset>138430</wp:posOffset>
                      </wp:positionV>
                      <wp:extent cx="932815" cy="9645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32815" cy="964564"/>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0.5pt;mso-position-horizontal:absolute;mso-position-vertical-relative:text;margin-top:10.9pt;mso-position-vertical:absolute;width:73.5pt;height:76.0pt;mso-wrap-distance-left:9.0pt;mso-wrap-distance-top:0.0pt;mso-wrap-distance-right:9.0pt;mso-wrap-distance-bottom:0.0pt;" stroked="f">
                      <v:path textboxrect="0,0,0,0"/>
                      <v:imagedata r:id="rId17"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生涯教室&amp;团体辅导室（84㎡）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教室门牌（定制设计）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标注教室名称的门牌，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2.产品尺寸：≥250mm*250mm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-13334</wp:posOffset>
                      </wp:positionH>
                      <wp:positionV relativeFrom="paragraph">
                        <wp:posOffset>68580</wp:posOffset>
                      </wp:positionV>
                      <wp:extent cx="838200" cy="83629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38200" cy="83629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1.0pt;mso-position-horizontal:absolute;mso-position-vertical-relative:text;margin-top:5.4pt;mso-position-vertical:absolute;width:66.0pt;height:65.8pt;mso-wrap-distance-left:9.0pt;mso-wrap-distance-top:0.0pt;mso-wrap-distance-right:9.0pt;mso-wrap-distance-bottom:0.0pt;" stroked="f">
                      <v:path textboxrect="0,0,0,0"/>
                      <v:imagedata r:id="rId15"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文化窗帘（定制设计）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印有文化内容的窗帘，含窗帘配套装置。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1.产品主题内容：包含生涯/心理/steam/艺术、学校生涯教育成果展示等相关内容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3.产品材质：PVC、铝合金、万向密珠</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-12064</wp:posOffset>
                      </wp:positionH>
                      <wp:positionV relativeFrom="paragraph">
                        <wp:posOffset>176530</wp:posOffset>
                      </wp:positionV>
                      <wp:extent cx="901700" cy="93091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01700" cy="930909"/>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0.9pt;mso-position-horizontal:absolute;mso-position-vertical-relative:text;margin-top:13.9pt;mso-position-vertical:absolute;width:71.0pt;height:73.3pt;mso-wrap-distance-left:9.0pt;mso-wrap-distance-top:0.0pt;mso-wrap-distance-right:9.0pt;mso-wrap-distance-bottom:0.0pt;" stroked="f">
                      <v:path textboxrect="0,0,0,0"/>
                      <v:imagedata r:id="rId21" o:title=""/>
                    </v:shape>
                  </w:pict>
                </mc:Fallback>
              </mc:AlternateConten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产品尺寸：高≥1130mm，最大宽度600mm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产品材质：多层实木板</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生涯树（定制设计）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生涯树，根据学校空间、风格定制设计；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1.产品尺寸：≥3000mm*3000mm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2.主题内容：生涯树，介绍生涯规划的重要性和必要性。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4.产品材质：亚克力+UV</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-31749</wp:posOffset>
                      </wp:positionH>
                      <wp:positionV relativeFrom="paragraph">
                        <wp:posOffset>36830</wp:posOffset>
                      </wp:positionV>
                      <wp:extent cx="1009015" cy="89662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009015" cy="89662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2.5pt;mso-position-horizontal:absolute;mso-position-vertical-relative:text;margin-top:2.9pt;mso-position-vertical:absolute;width:79.5pt;height:70.6pt;mso-wrap-distance-left:9.0pt;mso-wrap-distance-top:0.0pt;mso-wrap-distance-right:9.0pt;mso-wrap-distance-bottom:0.0pt;" stroked="f">
                      <v:path textboxrect="0,0,0,0"/>
                      <v:imagedata r:id="rId22"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生涯挂图（定制设计）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1.产品尺寸：≥600mm*800mm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需至少包含生涯知识，包括生涯彩虹图、生涯规划步骤、学习风格、多元智能霍兰德兴趣等关于生涯理论知识的挂图。生涯名人名言，需包含古今中外生涯心理大师们的名言，如金树人、舒伯、弗朗西斯·培根。升学路径，需包含普通类、特殊类、军事类等一些大学招生的详细规则。学校生涯教育成果展示（需支持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4.产品材质：需至少包含户外写真哑膜、亚克力</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382905</wp:posOffset>
                      </wp:positionV>
                      <wp:extent cx="712470" cy="86995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12470" cy="8699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4.5pt;mso-position-horizontal:absolute;mso-position-vertical-relative:text;margin-top:30.1pt;mso-position-vertical:absolute;width:56.1pt;height:68.5pt;mso-wrap-distance-left:9.0pt;mso-wrap-distance-top:0.0pt;mso-wrap-distance-right:9.0pt;mso-wrap-distance-bottom:0.0pt;" stroked="f">
                      <v:path textboxrect="0,0,0,0"/>
                      <v:imagedata r:id="rId2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生涯团体辅导包</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辅导包内包含生涯读物及生涯教具卡，可用于学生进行自我探索活动。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1：生涯读物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不少于10本，能够普及生涯基础知识，为指导学生的生涯探索和决策提供指引和支撑。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2：生涯教具卡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不少于8套，帮助教师通过教具丰富课堂形式，为学生进行不同形式的生涯探索提供支撑。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团体活动工具箱</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团体活动工具箱含热身游戏、放松游戏，以及主题训练活动，相应的活动器材包括有活动工具箱、活动音乐、活动指导手册等，包含了学生在活动过程中将要使用的工具和配乐。适合30－50个人同时使用。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主题训练活动需至少包含以下8个模块：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1.环境适应篇：有缘相识、寻人行动、个性名片“松鼠”搬家、多元排队、体验放松“蜈蚣”翻身。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2.沟通交往篇：“变形虫”、我说你画、“盲人”旅行、最佳配图、我说你剪、风雨同行、找“领袖”、人体“拷贝”。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3.竞争合作篇：“啄木鸟”行动、广告设计、解开“手链”、造“房子”、穿越“沼泽地”。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4.自我意识篇：画“自画像”、音乐与意象、我要、留舍最爱、背后留言、目标搜索。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5.创新实践篇：卖梳子、遵从指导、心中的塔、传球夺秒、比比谁高、高空飞蛋、畅想拼图、平面魔方。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6.意志责任篇：突出重围、举手仪式、护蛋行动、手指的力量、祝福花篮、接受现实、承担责任、信任后仰。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7.学习管理篇：时间分割、于无声处、时装秀、用途无限、资源共享、寻找变化、一分钟价值、集思广益。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8.心灵成长篇：走出“舒服圈”、收获“糖弹”、看我“走过来”、规则的意义、寻宝记、心灵电报、感恩父母、命运之牌。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二、软件参数：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软件需至少包含以下3大系统：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1.团体活动训练系统：单个活动团体活动训练记录、备注、场景上传等；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2.团体活动素质拓展训练系统：户外拓展项目的登记记录、信息上传、活动查询等；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3.团体活动协同追踪系统：通过调用所安装电脑摄像头捕捉追踪次数，并通过系统进行记录以及统计，今日追踪、本周追踪和本月追踪的数据。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①部门信息模块：系统支持部门信息的增删改查。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②视频管理模块：支持活动视频信息的增删改查。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③活动总结模块：系统每次活动的内容和过程进行信息的增删改查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④系统活动模块：活动内容包括：音乐与意象、我要、留舍最爱、背后留言、目标搜索、卖梳子、遵从指导、心中的塔、传球夺秒、比比谁高、高空飞蛋、畅想拼图、平面魔方等。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⑤基础设置和数据管理模块：可以根据所在单位信息更改名称和logo。为方便数据保存拥有强大的数据备份和还原功能。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团体艺术辅导箱</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①音乐心理辅导器具：旋律乐器≥5件，无旋律乐器≥15件。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②美术心理辅导器具：绘画类用品≥20种，串珠类用品≥20种，纸工类用品≥20种，美术辅助用品≥8种。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③舞动心理辅导器具：球类2种，绳索类3种，丝绸类2种，舞动辅助用品5种。材质主要采用塑料、橡胶、金属、木质、布料等材质，所有材质都无毒无味，符合环保要求。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④配套手册1本。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⑤器材收纳箱1个。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【软件参数】：内置3大系统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团体活动训练系统：单个活动团体活动训练记录、备注、场景上传等；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团体活动素质拓展训练系统：户外拓展项目的登记记录、信息上传、活动查询等；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团体活动协同追踪系统：通过调用所安装电脑摄像头捕捉追踪次数，并通过系统进行记录以及统计，今日追踪、本周追踪和本月追踪的数据。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①部门信息模块：系统支持部门信息的增删改查。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②视频管理模块：支持活动视频信息的增删改查。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③活动总结模块：系统每次活动的内容和过程进行信息的增删改查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④系统活动模块：活动内容包括：音乐与意象、我要、留舍最爱、背后留言、目标搜索、卖梳子、遵从指导、心中的塔、传球夺秒、比比谁高、高空飞蛋、畅想拼图、平面魔方等。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⑤基础设置和数据管理模块：可以根据所在单位信息更改名称和logo。为方便数据保存拥有强大的数据备份和还原功能。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毛毡板创作墙（定制设计）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1.尺寸：≥2400mm*1200mm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2.厚度：≥8mm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3.颜色：定制选配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4.材质：毛毡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4.需包含视觉设计、版式优化及效果呈现等全流程服务（包括文化内容研发、文化内容设计、材料制作、现场安装实施）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86360</wp:posOffset>
                      </wp:positionV>
                      <wp:extent cx="871220" cy="97853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71220" cy="97853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3pt;mso-position-horizontal:absolute;mso-position-vertical-relative:text;margin-top:6.8pt;mso-position-vertical:absolute;width:68.6pt;height:77.0pt;mso-wrap-distance-left:9.0pt;mso-wrap-distance-top:0.0pt;mso-wrap-distance-right:9.0pt;mso-wrap-distance-bottom:0.0pt;" stroked="f">
                      <v:path textboxrect="0,0,0,0"/>
                      <v:imagedata r:id="rId24"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学职体验中心（119㎡）</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大学文化墙（定制设计）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1.整体尺寸：≥800mm*3000mm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2.产品内容：知名高校介绍，可根据学校学生升学路径情况定制。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3.产品材质：灯箱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嵌后台系统支持：支持为每个大学logo配备一个专属二维码，通过扫描二维码可以查询该高校院校概况、开设专业、招生简章以及自招简章、历年分数线、招生计划数、全景校园等信息；支持用户查看该院校的选科详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5.需包含视觉设计、版式优化及效果呈现等全流程服务（包括文化内容研发、文化内容设计、材料制作、现场安装实施）。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213360</wp:posOffset>
                      </wp:positionH>
                      <wp:positionV relativeFrom="paragraph">
                        <wp:posOffset>207010</wp:posOffset>
                      </wp:positionV>
                      <wp:extent cx="456565" cy="111760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56565" cy="1117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6.8pt;mso-position-horizontal:absolute;mso-position-vertical-relative:text;margin-top:16.3pt;mso-position-vertical:absolute;width:35.9pt;height:88.0pt;mso-wrap-distance-left:9.0pt;mso-wrap-distance-top:0.0pt;mso-wrap-distance-right:9.0pt;mso-wrap-distance-bottom:0.0pt;" stroked="f">
                      <v:path textboxrect="0,0,0,0"/>
                      <v:imagedata r:id="rId25" o:title=""/>
                    </v:shape>
                  </w:pict>
                </mc:Fallback>
              </mc:AlternateConten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学长学姐生涯笔记文化、蹭饭地图展示墙（定制设计）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1.产品尺寸：≥4500*2000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2.产品内容：生涯笔记展示，升学地图，</w:t>
            </w:r>
            <w:r/>
          </w:p>
          <w:p>
            <w:pPr>
              <w:jc w:val="left"/>
              <w:keepLines w:val="0"/>
              <w:keepNext w:val="0"/>
              <w:spacing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p>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4.产品材质：雪弗板、亚克力UV</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54610</wp:posOffset>
                      </wp:positionH>
                      <wp:positionV relativeFrom="paragraph">
                        <wp:posOffset>128270</wp:posOffset>
                      </wp:positionV>
                      <wp:extent cx="781685" cy="91440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81685" cy="9144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4.3pt;mso-position-horizontal:absolute;mso-position-vertical-relative:text;margin-top:10.1pt;mso-position-vertical:absolute;width:61.5pt;height:72.0pt;mso-wrap-distance-left:9.0pt;mso-wrap-distance-top:0.0pt;mso-wrap-distance-right:9.0pt;mso-wrap-distance-bottom:0.0pt;" stroked="f">
                      <v:path textboxrect="0,0,0,0"/>
                      <v:imagedata r:id="rId26"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数智画框（基础版）</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硬件参数要求：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1、运行内存：≥4GB；存储内存：≥32GB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2、屏幕尺寸：≥32英寸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3、屏幕分辨率：≥1920*1080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4、刷新频率：≥60Hz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5、亮度：≥350cd/㎡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6、整机功率：≤65W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7、待机功率≤0.5W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软件功能要求：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1、支持通过账号密码登录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2、内置科学家系列、文学家系列、心理学家系列、艺术家、学科系列等不少于5类主题资源，总数不少于50个名人名言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3、支持图文、视频等多种混合格式轮播展示，可设定轮播时长与顺序，支持自定义轮播。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4、支持内容包统一管理，资源更新与远程发布能力。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5、支持实现每个数智人与其所对应的名言发音在嘴型呈现上保持高度一致，确保展示效果的自然与逼真。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645795</wp:posOffset>
                      </wp:positionV>
                      <wp:extent cx="614680" cy="98869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14680" cy="98869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6.8pt;mso-position-horizontal:absolute;mso-position-vertical-relative:text;margin-top:50.8pt;mso-position-vertical:absolute;width:48.4pt;height:77.8pt;mso-wrap-distance-left:9.0pt;mso-wrap-distance-top:0.0pt;mso-wrap-distance-right:9.0pt;mso-wrap-distance-bottom:0.0pt;" stroked="f">
                      <v:path textboxrect="0,0,0,0"/>
                      <v:imagedata r:id="rId27"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多元升学路径文化展示墙--亚克力文化（定制设计）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1.产品尺寸：≥6600mm*2100mm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2.产品内容：介绍高中生的多元升学路径，包含强基计划、综合评价、中外合作办学、定向招生、三项招飞、艺术生、体育生、三大专项计划等升学路径，并介绍该路径下的重点推荐院校；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4.产品材质：亚克力等</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-5079</wp:posOffset>
                      </wp:positionH>
                      <wp:positionV relativeFrom="paragraph">
                        <wp:posOffset>326390</wp:posOffset>
                      </wp:positionV>
                      <wp:extent cx="792480" cy="63944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92480" cy="63944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0.4pt;mso-position-horizontal:absolute;mso-position-vertical-relative:text;margin-top:25.7pt;mso-position-vertical:absolute;width:62.4pt;height:50.3pt;mso-wrap-distance-left:9.0pt;mso-wrap-distance-top:0.0pt;mso-wrap-distance-right:9.0pt;mso-wrap-distance-bottom:0.0pt;" stroked="f">
                      <v:path textboxrect="0,0,0,0"/>
                      <v:imagedata r:id="rId2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多元升学路径文化展示墙--墙布文化（定制设计）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1.材质：墙布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2.内容：可根据需求定制。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4.尺寸：≥6600mm*2100mm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-8254</wp:posOffset>
                      </wp:positionH>
                      <wp:positionV relativeFrom="paragraph">
                        <wp:posOffset>383540</wp:posOffset>
                      </wp:positionV>
                      <wp:extent cx="899795" cy="5327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99795" cy="5327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0.6pt;mso-position-horizontal:absolute;mso-position-vertical-relative:text;margin-top:30.2pt;mso-position-vertical:absolute;width:70.8pt;height:41.9pt;mso-wrap-distance-left:9.0pt;mso-wrap-distance-top:0.0pt;mso-wrap-distance-right:9.0pt;mso-wrap-distance-bottom:0.0pt;" stroked="f">
                      <v:path textboxrect="0,0,0,0"/>
                      <v:imagedata r:id="rId29"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激光投影仪</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1.液晶板尺寸≥0.64英寸: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2.标准亮度≥5000流明；标准分辨率≥1920*1080；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3.投射比≤0.235：1；投影画面尺寸支持：80-120寸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4.采用激光光源，光源更换周期≥30000小时；整机功率≤350W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5.含投影机支架≥1.5米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6.支持4点快速校准、一键切换接口。支持任意水平面或者有角度的水平面，或者不规则的平面上实现多点触控。</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边缘融合拼接系统</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1.支持将多台投影机的画面无缝衔接成一个整体大画面；矫正不规则画面进行对位调整产通道平面/外面融合/S形曲面及不规则幕面校正；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2.支持像素级别几何校正;融合精度:1/16个像素；最高分辨率:8K;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3.支持局域网控制;支持重启自动恢复;CJ-NetPlayer播放控制系统(调用显卡PureVdeoHD功能，高速解码高分辨率视频);CJ-Sync交互控制系统;CJ-PixelStorm(优化CPU运算):</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磁吸白板墙面（特别定制）</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1.墙面采用至少四层复合结构，至少包含1层纳米涂层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2.板漆材质：丙烯酸酯共聚物、无铅颜料墙面、水性酵酸；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3.板漆要求：无明显开裂、掉漆等影响使用的现象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4.需包含视觉设计、版式优化及效果呈现等全流程服务（包括文化内容研发、文化内容设计、材料制作、现场安装实施）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（1）需支持磁铁磁吸功能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（2）需支持手写擦除功能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（3）需不影响投影使用，包含但不仅限于强烈反光、视频出缝等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（4）需支持触控与投影相结合</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实验操作台组件-未来科技工具箱</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未来科技材料套件-工具箱1组：尺寸≥395*295*105mm，内置两层内衬组合堆嵌式塑料工具箱，器材分格摆放并标明器材名称。与其它工具箱可以任意组合。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工具箱内需包含以下内容：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1.生物材料≥80克3瓶：树脂环保材质，可做工具、模具、配件等。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2.感温变色油墨≥20克4瓶：分别为45度橘色、22度深蓝色、31度天空蓝、65度玫红色，油性自干丝印墨。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3.碳晶石墨烯加热膜1块：≥200*500mm，碳纤维膜材质，配无极开关。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4.荧光粉≥1克1瓶：橘色。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5.磁流体≥15ml*1瓶：磁饱和强度高。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6.特殊细菌粉末1克1瓶。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7.薄型平纹导电布料1块：厚≥0.2mm，聚酯纤维+镀铜镍材质。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8.铜镍导电布料1块：厚≥0.2mm，聚酯纤维+镀铜镍+15层碳粉材质。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9.钕磁强磁铁10个：≥20x10x1mm，镀铜镍厚度充磁。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10.极速制冷剂2个：≥260ml。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11.银纤维导电缝纫线2轴：一轴不少于48米。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12.热熔胶枪1个：≥20W，钢制胶嘴防锈。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13.热熔胶棒10根：≥7mm。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14.镍钛合金线1米：≥0.3mm。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15.低温液态镓金属≥10g*2支：高纯度低熔点环保。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16.导电胶带1卷：≥宽30mm，双面导电。</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58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实验操作台组件-科学实验室工具箱</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科学实验室套件-工具箱1组：尺寸≥395*295*155mm，内置三层内衬组合堆嵌式塑料工具箱，器材分格摆放并标明器材名称。与其它工具箱可以任意组合。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工具箱内需包含以下内容：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1.棉签1包：55根/包，木制棉棒。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2.电子秤1台：≥1000*0.1g，2*AAA电池，内置第三代精准传感器。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3.离心管4个：≥14ml，PP材质。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4.单头药匙1个：≥120mm，不锈钢材质。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5.移液枪1个：1000-5000ul，ABS塑料机身，（含配件1套，配套吸头5个）。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6.镊子1个：≥250mm，高硬度加厚不锈钢材质。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7.离心管4个：≥50ml，PP材质。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8.塑料胶头滴管5个：≥3ml，加厚PE材质。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9.M号一次性乳胶丁晴手套3副：耐酸碱。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10.护目镜1副：高清晰强化聚碳酸酯镜片。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11.试剂瓶4个：≥50ml，口径厚度不低于4mm，加厚玻璃材质带刻度。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12.试剂瓶2个：≥100ml，口径厚度不低于4mm，加厚玻璃材质带刻度。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13.营养琼脂培养基5个：直径≥90mm，宜在2-8℃下保存，独立真空包装。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14.玻璃培养皿4个：直径≥90mm，高硼硅材质。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15.烧杯1个：≥100ml，硼硅酸玻璃材质，适用于混合或者测量液态样本。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16.烧杯1个：≥250ml，硼硅酸玻璃材质，适用于混合或者测量液态样本。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17.漏斗1个：直径≥60mm，高硼硅材质。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18.称量纸1包10张：≥100*100mm。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19.封口膜4条：≥100*40mm，实验室专用封口膜。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20.玻璃棒1个：≥200mm，高硼硅材质。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21.分装瓶4个：≥10ml，瓶盖PP材质，瓶身PET材质。</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实验操作台组件-气动系统套件实验工具箱</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气动系统套件-工具箱1组：尺寸≥395*295*155mm，内置三层内衬组合堆嵌式塑料工具箱，器材分格摆放并标明器材名称。与其它工具箱可以任意组合。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工具箱需包含以下内容：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1.压缩CO2气体6个：≥长89mm，直径≥20mm，≥16g。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2.三通转接头8个：Y型，口径≥6mm，耐高压不脱扣。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3.气动消声器8个：外直径12.5±0.3mm，内直径11.5±0.3mm，不锈钢材质。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4.调速节流阀8个：黑色M5，口径≥6mm。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5.气缸安装脚架4个：缸径≥16mm，不锈钢材质。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6.A型气缸2个：缸径≥16mm，活塞杆伸缩距离≥50mm，不锈钢材质。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7.B型气缸2个：缸径≥16mm，活塞杆伸缩距离≥500mm，不锈钢材质。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8.螺纹直通接头12个：口径≥6mm，PC螺纹。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9.气动手动阀4个：适宜工作湿度0-60℃，铝合金材质。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10.气动电磁阀1个：连接气管内径≥4mm，外径≥6mm，12V直流输出（配套十字螺丝刀1个，电源1个，端子线1根）。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11.微调减压阀1个：适用于刺针抛弃式气瓶，输出压力稳定。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12.PVC软管1根≥4000mm：内外径≥4*6mm，加厚UPVC透明管。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13.扳手1个：≥6寸，金属碳钢材质整体镀铬。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14.充气气囊5个：不低于165*150mm，带阀门。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15.充气填充袋5个：≥100*200mm，尼龙含量高达25韧性强。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16.充气填充袋5个：≥100*300mm，尼龙含量高达25韧性强。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17.充气填充袋5个：≥150*250mm，尼龙含量高达25韧性强。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18.充气填充袋5个：≥150*300mm，尼龙含量高达25韧性强。</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学职群专业职业文化展板（定制设计）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1.产品尺寸：≥1000*3000，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2.产品内容可展示多元智能和学职信息对学生发展指导的路径和方法。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3.产品材质：墙布、亚克力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4.需包含视觉设计、版式优化及效果呈现等全流程服务（包括文化内容研发、文化内容设计、材料制作、现场安装实施）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wp:posOffset>
                      </wp:positionH>
                      <wp:positionV relativeFrom="paragraph">
                        <wp:posOffset>32385</wp:posOffset>
                      </wp:positionV>
                      <wp:extent cx="424180" cy="104140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24180" cy="10414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14.7pt;mso-position-horizontal:absolute;mso-position-vertical-relative:text;margin-top:2.5pt;mso-position-vertical:absolute;width:33.4pt;height:82.0pt;mso-wrap-distance-left:9.0pt;mso-wrap-distance-top:0.0pt;mso-wrap-distance-right:9.0pt;mso-wrap-distance-bottom:0.0pt;" stroked="f">
                      <v:path textboxrect="0,0,0,0"/>
                      <v:imagedata r:id="rId30" o:title=""/>
                    </v:shape>
                  </w:pict>
                </mc:Fallback>
              </mc:AlternateContent>
            </w:r>
            <w:r/>
          </w:p>
        </w:tc>
      </w:tr>
      <w:tr>
        <w:trPr>
          <w:trHeight w:val="51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《科学世界观-像科学家一样探究》课程资源包</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 ：课程资源包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能够满足40个学生教学，包含教师培训用器材，教学课件、教师手册电子资料1份；配套学生教辅手册1本； 配套教师教辅手册1本，并提供1次的教师培训。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二：课程内容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1：课程主题内容包括：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科学世界观-像科学家一样探究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1)了解已知世界的边界，包括宇宙、海洋、陆地，完善基本认知中有关世界的组成及规律。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了解科学的一般研究过程。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了解科学研究来自发现问题，通过观测手段来进行科学研究。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掌握和认识到基本实验安全和伦理规范。所有部件放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三：每箱器材需至少包含以下内容：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量杯100ml带盖20 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醋100毫升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卷轴1个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探索棋盘 10个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动物分类卡片 10套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石墨强力磁铁套件 1 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磁铁套件 10套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强力磁铁方形20个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棉线 20根</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《如何发现一种新物种-给自然分类》课程资源包</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 ：课程资源包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能够满足40个学生教学，包括教师培训用器材，教学课件、教师手册电子资料1份；配套学生教辅手册1本；配套教师教辅手册1本，并提供1次的教师培训。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 ：课程内容：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1.课程主题内容包括：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1)了解新物种发现的过程。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掌握识别新物种的特征的方法。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3)掌握对新物种的分类方法。器材清单：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三：每箱器材需至少包含：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缝衣线 20根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0.2mm银丝 20根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0.2mm钨丝20根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软木塞 10个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数显温度表10个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砂芯硅胶瓶塞 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恒温箱 1个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医用棉签 5包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Glo Germ套件 10瓶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塑料培养皿100 个</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《预测未来、从探究到规律-光的探索》课程资源包</w:t>
            </w:r>
            <w:r/>
          </w:p>
        </w:tc>
        <w:tc>
          <w:tcPr>
            <w:shd w:val="clear" w:color="auto" w:fill="auto"/>
            <w:tcBorders>
              <w:top w:val="single" w:color="000000" w:sz="4" w:space="0"/>
              <w:left w:val="non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 ：课程资源包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能够满足40个学生教学，包括教师培训用器材，教学课件、教师手册电子资料1份；配套学生教辅手册1本； 配套教师教辅手册1本，并提供1次的教师授课培训。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二：主要课程内容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1.课程主题内容包括：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1)学生提出自己的光反射的假设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2)设计实验验证自己的假设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3)形成自己的理论，并可以进行验证实验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4)提出证伪的命题，并设计可能的实验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三：每箱器材需至少包含：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量杯50ml带盖 20 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小苏打100 克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卷轴1个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几何体 1套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光学套件 10套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棉线1卷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珍珠棉 10块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圆木棍60根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0.3mm钨丝 2米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0.5mm铅笔芯 2盒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透明胶带18mm1卷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开关灯座1个</w:t>
            </w:r>
            <w:r/>
          </w:p>
        </w:tc>
        <w:tc>
          <w:tcPr>
            <w:shd w:val="clear" w:color="auto" w:fill="auto"/>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移动演讲台</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1.升降范围:710-1100mm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2.支架工艺:PU静电喷涂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3.面板材质:MDF+PVC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4.桌脚材质:优质钢架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5.面板尺寸:≥715cm*495cm*18cm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6.产品毛重:≤24kg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7.最大承重:≥50kg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8.面板颜色:白色或枫木色</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学职群轻体验设备套装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（化生与物质、健康学职群）</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腹腔镜手术模拟练习器支持各种缝合练习，并配套持针器，分离钳，抓钳和剪刀等配件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一、产品尺寸：≥47cm*42cm*27cm 重量 ≤7KG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二、产品需至少包含以下内容：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1.仿生型操作箱：具有完整的腹部造型，支持12个操作入路，附带1个万向节和1个置物抽屉，1个内置光源）*1个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2.屏幕：≥11寸，带屏一体机（内置专用影像芯片，3秒开机，即插即用）*1个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3.内窥镜：30度直杆内窥镜，1080P高清，带光源，航空接口*1根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4.训练器械：持针器，弯分离钳，抓钳，剪刀，各1把：1套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5.基础训练模块：派送模块，梅花桩模块，凌波微步模块，剪切模块*1套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6.高级缝合吻合模块：3D缝合模块，空肠模型，切口缝合模块，肌瘤剔除模型，阴道断端缝合模型*1套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7.穿刺套管：提供器械插入阻尼，稳定器械*2个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8.置物架：可调节高低置物架，让仿生模型训练时有更多的角度可选择*1个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9.针线：针线一体，带针缝合线，每根针线独立包装，型号2-0*10包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10.彩色使用指南：彩色图文安装使用说明书*1本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包含2本腹腔镜手术的使用手册及配套课程资源。</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空气架子鼓</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包装尺寸：≥340mm*180mm*55mm，工作温度：0-50℃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1.空气鼓棒，2个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产品尺寸：≥300mm*16mm*10mm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产品重量：≤40克*2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产品电池：3.7V,≥170mAh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2.脚踏，2个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产品尺寸：≥40mm*40mm*18mm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产品重量：≤20克*2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产品电池：3.7V,≥70mAh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3.音箱，1个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产品尺寸：≥77mm*77mm*40mm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产品重量：≤180克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产品电池：3.7V,≥400mAh</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教室门牌（定制设计）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标注教室名称的门牌，具体内容需根据采购方要求定制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1.产品尺寸：≥250mm*250mm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2.产品材质：亚克力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3.需包含视觉设计、版式优化及效果呈现等全流程服务（包括文化内容研发、文化内容设计、材料制作、现场安装实施）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103505</wp:posOffset>
                      </wp:positionV>
                      <wp:extent cx="838200" cy="8362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38200" cy="83629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3.4pt;mso-position-horizontal:absolute;mso-position-vertical-relative:text;margin-top:8.2pt;mso-position-vertical:absolute;width:66.0pt;height:65.8pt;mso-wrap-distance-left:9.0pt;mso-wrap-distance-top:0.0pt;mso-wrap-distance-right:9.0pt;mso-wrap-distance-bottom:0.0pt;" stroked="f">
                      <v:path textboxrect="0,0,0,0"/>
                      <v:imagedata r:id="rId1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文化窗帘（定制设计）</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印有文化内容的窗帘，含窗帘配套装置。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1.产品内容：包含生涯/心理/steam/艺术等相关内容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2.产品材质：PVC、铝合金、万向密珠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3.包含学校生涯教育成果展示。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4.需包含视觉设计、版式优化及效果呈现等全流程服务（包括文化内容研发、文化内容设计、材料制作、现场安装实施）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-2539</wp:posOffset>
                      </wp:positionH>
                      <wp:positionV relativeFrom="paragraph">
                        <wp:posOffset>90805</wp:posOffset>
                      </wp:positionV>
                      <wp:extent cx="901700" cy="93091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01700" cy="930909"/>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0.2pt;mso-position-horizontal:absolute;mso-position-vertical-relative:text;margin-top:7.1pt;mso-position-vertical:absolute;width:71.0pt;height:73.3pt;mso-wrap-distance-left:9.0pt;mso-wrap-distance-top:0.0pt;mso-wrap-distance-right:9.0pt;mso-wrap-distance-bottom:0.0pt;" stroked="f">
                      <v:path textboxrect="0,0,0,0"/>
                      <v:imagedata r:id="rId21" o:title=""/>
                    </v:shape>
                  </w:pict>
                </mc:Fallback>
              </mc:AlternateConten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朗读亭</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1.设备需至少包含以下内容：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1）设备主体：朗读亭框体1 个，含灯光、玻璃、钣金框体、监控系统；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2）功能主件：触摸点播系统（屏）1 个；影像字幕显示屏1 个； 主控机1 个（含安卓主板、音频主板等）；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3）设备附件：专业动圈麦克风2 个；专业耳机2 个；可调节座椅2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4）专业动圈麦克风：频率响应：60Hz-18kHz，阻抗: 600Ω±30%，灵敏度：-50dB±3dB；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5）专业耳机：半开放式专业监听耳机，灵敏度≥98dB/mW，阻抗≥32Ω，频率响应：10-30000Hz；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6）隔音玻璃：高强度钢化隔音玻璃，；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7）双麦克风：支持紫外线杀菌；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8）灯光：柔和暖色，对人眼无刺激；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9）定时器：可以设置自动开关机；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1）产品尺寸: 长（L）≥1.330 m ,宽（W）≥1.125 m ,高（H）≥2.52 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2）额定电源：AC220V  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3）额定功率：整机≥1200W，包含内置空调和通风系统；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4）显示部分：主显示器≥32寸，分辨率≥1920*1080；触摸屏≥21.5寸，分辨率≥1920*1080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5）网络：支持无线和有线</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6"/>
        </w:trPr>
        <w:tc>
          <w:tcPr>
            <w:gridSpan w:val="7"/>
            <w:shd w:val="clear" w:color="auto" w:fill="auto"/>
            <w:tcBorders>
              <w:top w:val="single" w:color="000000" w:sz="4" w:space="0"/>
              <w:left w:val="single" w:color="000000" w:sz="4" w:space="0"/>
              <w:bottom w:val="single" w:color="000000" w:sz="4" w:space="0"/>
              <w:right w:val="single" w:color="000000" w:sz="4" w:space="0"/>
            </w:tcBorders>
            <w:tcW w:w="11160" w:type="dxa"/>
            <w:vAlign w:val="center"/>
            <w:textDirection w:val="lrTb"/>
            <w:noWrap/>
          </w:tcPr>
          <w:p>
            <w:pPr>
              <w:jc w:val="both"/>
              <w:spacing w:line="360" w:lineRule="auto"/>
              <w:rPr>
                <w:rFonts w:hint="default" w:ascii="宋体" w:hAnsi="宋体" w:eastAsia="宋体" w:cs="宋体"/>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二、信息化部分</w:t>
            </w:r>
            <w:r/>
          </w:p>
        </w:tc>
      </w:tr>
      <w:tr>
        <w:trPr>
          <w:trHeight w:val="75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接待区/自我认知区（48㎡）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自我认知探索互动终端</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一、硬件参数要求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显示尺寸：≥55 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屏幕分辨率：1920*1080 全高清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处理器：国产自主可控处理器，四核 Cortex-A55，22nm，主频 2.0GHz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运行内存：≥4GB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机身存储：≥32GB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操作系统：鸿蒙系统6.0等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视频接口：标准 HDMI 高清输出接口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有线网络：千兆自适应以太网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无线网络：Wi-Fi 6 高速无线协议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蓝牙版本：蓝牙 5.0 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机身底座：白色 K 型稳固底座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适配标准：符合信创软硬件兼容适配规范，满足国产化应用部署运行要求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二、软件参数内容：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学生生涯测评功能需至少包含性格、兴趣、多元智能、学习生活适应性、学生生涯发展水平、五力核心素养等综合素养评估。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1、性格测评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1）要求通过性格测评帮助学生了解自身性格维度上的表现，确认自己的性格类型、学习风格、性格优劣势等。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2）支持通过性格测评，从学生的外倾-内倾、感觉-直觉、思维-情感、判断-知觉等维度，探索学生的性格特点。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3）支持学生在线完成答题测试，测评量表不少于90题。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4）能通过时间判定机制、测谎机制判定学生的测评过程是否符合要求，保证测评结果的真实性。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5）完成测评后，能够在线生成、查看专业的个体性格测评报告。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2、兴趣测评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1）要求通过兴趣测评帮助学生了解自身的兴趣类型及特点，为学生的专业、职业、休闲活动选择，以及职业适应、转换提供有力的参考。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2）支持通过兴趣测评，从实用型、研究型、艺术型、社会型、企业型和事务型等六大兴趣维度，探索学生的兴趣类型和特征。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3）支持学生在线完成答题测试，测评量表不少于90题。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4）能通过时间判定机制、测谎机制判定学生的测评过程是否符合要求，保证测评结果的真实性。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5）完成测评后，能够在线生成、查看专业的个体兴趣测评报告。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3、多元智能测评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1）要求能够通过多元智能测评帮助学生探寻自己的多元智能结构，了解其中的优势智能、中性智能和相对劣势智能等。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2）支持通过多元智能测评，从学生的言语智能、逻辑—数学智能、空间智能、身体运动智能、音乐智能、人际智能、自我认知智能和自然观察智能等维度，探索学生的多元智能发展情况。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3）支持学生在线完成答题测试，测评量表不少于90题。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4）能通过时间判定机制、测谎机制判定学生的测评过程是否符合要求，保证测评结果的真实性。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5）完成测评后，能够在线生成、查看专业的个体多元智能测评报告。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4、学习生活适应性测评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1）要求通过学习生活适应性测评帮助学生了解自己的身心状况，总结学生平时可能会在哪些方面容易焦虑，以及焦虑的程度如何，为进一步自我调适、寻求支持与帮助提供参考。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2）支持通过学习生活适应性测评，从学生的学习焦虑、对人焦虑、孤独倾向、自责倾向、过敏倾向、身体症状、恐怖倾向、冲动倾向等维度，探索学生的学习生活适应性情况。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3）支持学生在线完成答题测试，测评量表不少于90题。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4）能通过时间判定机制、测谎机制判定学生的测评过程是否符合要求，保证测评结果的真实性。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5）完成测评后，能够在线生成、查看专业的个体学习生活适应性测评报告。5、生涯发展水平测评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1）要求通过学生生涯发展水平测评帮助学生了解自身的生涯发展总体状况，分析学生的生涯发展特点，并提供促进生涯发展的方法和策略，进而提高学生的生涯发展水平。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2）支持通过学生生涯发展水平测评，从学生的生涯态度、生涯认知、生涯行动等维度，探索学生的生涯发展水平情况。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3）支持学生在线完成答题测试，测评量表不少于40题。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4）能通过时间判定机制、测谎机制判定学生的测评过程是否符合要求，保证测评结果的真实性。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5）完成测评后，能够在线生成、查看专业的个体生涯发展水平测评报告。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6、五力核心素养测评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1）五力模型需包括学习力、批判性思维、创造力、问题解决能力、沟通与合作能力，五力测评所评估的五种核心素养，能够反映全球范围内最为关注的核心素养，是个体终身发展所需要的必备品格和关键能力。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2）支持学生在线完成答题测试。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3）能通过时间判定机制、测谎机制判定学生的测评过程是否符合要求，保证测评结果的真实性。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4）完成测评后，能够在线生成、查看专业的个体学习生活适应性测评报告。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能够通过一体机端进行评估，以帮助学生实现生涯自我探索，可根据学生测评结果推荐相应的大学专业，完成评估后能够在线查看精简版测评报告，并且将专业版报告发送个人邮箱。</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55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生涯教育AI智能互动终端</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一、触控一体化终端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显示屏：≥27 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屏幕分辨率：1920*1080 全高清规格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处理器：国产自主可控处理器 八核 64 位大小核架构 ，四大核 Cortex-A76 + 四小核 Cortex-A55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机身存储：≥128GB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操作系统：鸿蒙系统 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视频输出：标准 HDMI 高清输出接口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网络规格：千兆自适应以太网、Wi</w:t>
            </w:r>
            <w:r>
              <w:rPr>
                <w:rFonts w:hint="eastAsia" w:ascii="宋体" w:hAnsi="宋体" w:eastAsia="宋体" w:cs="宋体"/>
                <w:i w:val="0"/>
                <w:iCs w:val="0"/>
                <w:color w:val="000000"/>
                <w:sz w:val="20"/>
                <w:szCs w:val="20"/>
                <w:u w:val="none"/>
                <w:lang w:val="en-US" w:eastAsia="zh-CN" w:bidi="ar"/>
              </w:rPr>
              <w:noBreakHyphen/>
            </w:r>
            <w:r>
              <w:rPr>
                <w:rFonts w:hint="eastAsia" w:ascii="宋体" w:hAnsi="宋体" w:eastAsia="宋体" w:cs="宋体"/>
                <w:i w:val="0"/>
                <w:iCs w:val="0"/>
                <w:color w:val="000000"/>
                <w:sz w:val="20"/>
                <w:szCs w:val="20"/>
                <w:u w:val="none"/>
                <w:lang w:val="en-US" w:eastAsia="zh-CN" w:bidi="ar"/>
              </w:rPr>
              <w:t xml:space="preserve">Fi 6 无线协议、蓝牙 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适配要求：符合信创体系软硬件适配标准，适配国产化应用运行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二、AI互动软件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（一）AI生涯规划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1、基于人工智能技术，提供多元升学途径的生涯规划师指导。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2、对于学生提问有关院校、专业录取信息，AI可用文本、表格等多形式呈现，语音同步播报，并随时可暂停AI的语音播报。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3、支持结合学生的生涯测评等个人数据，结合测评结果为学生推荐适合专业，用户提供个性化的生涯规划建议。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4、能够与学生实时进行语音对话，支持通过语音、文字形式开始对话，即时给予反馈。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针对高考升学路径可至少提供但不限于自我探索、学职探索、选科决策、志愿填报、行动建议等多维度的对话引导；针对留学升学途径可至少提供但不限于国际各类课程体系介绍、当地生活和文化了解、签证及法律问题、录取成功率等多维度的对话引导，从而分析用户兴趣、优势和个性化需求，推荐适合的职业方向和发展路径，为用户提供全方位的生涯规划指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6、学生与AI生涯规划师互动记录除了在AI互动终端可以查看，还可以在PC端查看，另可通过关键词、时间条件快速找到。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（二）自我探索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1、支持对学生的兴趣、性格、多元智能在线测评。答题过程中支持查看答题卡，跳转至已完成作答的题目。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2、能够在线查看测评结果，包括兴趣类型、性格类型、优势智能及与学生个人特征相符的代表人物。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3、完成测评后，支持逐步解锁查看学生的个人兴趣特征、性格优势与劣势等个人特质结果分析，支持查看学生的未来专业方向推荐和职业领域推荐结果，生成学生的生涯关键词云图。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4、能够针对学生的个人特质给予个性化评价。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5、测评报告结果保存在学生个人账号中，结果数据与web系统互通，支持学生登录web端系统平台查看更加专业详细的个人测评报告。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(三)AI模拟面试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支持与AI模拟面试官进行综合评价招生、春季高考面试模拟，面试内容包含学生自我认知、专业素养、问题分析能力、未来规划方向、价值观导向等多方面内容，支持多次模拟练习。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2.模拟面试完成后，能够自动生成面试报告。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3.能够提供与综合评价招生相关的报考指导资料及微视频内容。内容包含综合评价招生政策要求、流程安排及备考要点。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（四）学职探索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1、学职探索功能需至少包含：校园风采、职业库、专业库、中国大学库、中国大学排名、学业职业群模块。助力学生形成清晰的学职路径认知。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2、校园风采：支持对国内顶尖高校进行校园风采展示，通过高品质的校园图片轮播，激发学生探索兴趣与向往感。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3、职业库：支持查询全国涵盖12个大类700余种常见与新兴职业信息，帮助学生更好地了解职业内容、职业职责等信息，需包括职业定义、职责、职业前景、职业资格及能力、职业规划及职场案例等。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4、专业库：需支持查询全国1000多个本科专业、专科专业，支持高效查询与个性化探索，通过专业介绍、开设院校、专业特质，提升学生专业认知深度，促进科学选科、择校、择业决策。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中国大学库：需支持查询全国3000多所本科、高职（专科）院校，支持多维度查询与自主搜索，通过院校概况、院校录取、专业录取、招生计划和招生章程等信息助力学生全面了解高校特征，科学规划升学路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6、中国大学排名：支持查看全国大学排名、“双一流”名单、QS 世界大学排名、全国学科评估、世界大学学术榜，帮助学生多角度了解高校办学实力与学科优势。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7、学业职业群：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通过专业的分类体系，将大学专业依照其专业特质、关联职业等，进行再分类，组成七大学业职业群，每类学业职业群都有对应高中科目、重点培养能力、适宜职业形态，详细介绍每个分类的相关学科、职业情境、视频讲座等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通过将学生特质、学科、专业和职业相关联，帮助学生更好地了解职业内容、职业职责等信息，帮助中学生进行专业定位及选科决策。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2）支持以图谱的形式查看专业之间的层级关系和关联性。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3）支持查看各个专业的全国高校毕业生规模、性别比例、满意度等统计数据。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4）支持查看专业的开设院校及院校排名情况，能够查看各个院校本专业的录取分数线。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5）支持查看专业的基本信息、专业简介、主要课程、选科要求、相近专业、就业走向等数据。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6）提供不少于100个由高校各专业学长学姐亲身讲述的专业介绍视频，帮助学生了解大学专业。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7）支持查看每个专业所适合的兴趣、性格、能力特质，帮助学生结合个人特质，更好地找到适合自己的专业、职业和努力方向。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（五）海外院校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1、可提供全球范围内至少270所院校的详细介绍、强势专业、录取要求、申请攻略、留学费用供学生了解参考。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（六）生涯工具箱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1、可提供生涯规划工具，帮助学生理解人的生涯发展阶段、了解高中生涯规划的基本过程，学习使用生涯工具辅助决策。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2、可提供兴趣、性格、能力等方面的测评基本概念介绍与解读，帮助学生结合自身测评报告结果进行深入学习。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（七）AI心理对话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1、支持AI心理对话，角色/音色/称呼都可自定义：学生可以根据个人喜好自由组合角色、音色和称呼，至少支持9种角色选择，18种音色选择，提供不同的语音风格。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2、支持与学生自创的AI心理伙伴在线连线进行语音沟通。基于人工智能技术，理解用户情感需求并给予回应，为用户提供共情、引导、建议为逻辑线的情感支持和心理辅导。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3、支持AI心理对话个性化开场，可根据学生以往的互动内容，提炼其情感需求和关注点的开场。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4、支持对话中随时暂停、继续，对话过程中随时角色头像模式、字幕模式任意切换，看到本次对话的文字记录。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5、通过分析学生与AI的对话内容、语音语调、情绪表达等信息，能够勾勒出一个独特的、动态更新的心理画像。画像可展现学生的心理状态，揭示隐藏的情绪压力来源、性格倾向。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6、AI心理对话能根据学生对话内容生成心理画像。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7、学生与AI心理伙伴每产生不低于3组对话，AI心理对话能根据学生的对话内容进行实时分析生成画像，新增互动对话内容后会同步更新画像内容。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（八）心理咨询预约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1、提供心理咨询预约功能，学生能够在平台上预约校内心理老师，进行专业的心理咨询，为用户解决学习与生活中遇到的问题。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2、可支持学生预约至少5大类心理问题，包括但不限于情绪问题、行为问题、学业问题、人际交往、个人发展等方向。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3、支持查看学生个人的历史预约记录。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（九）漂流瓶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1、学生可将自己的心愿、目标和疑问以漂流瓶的形式匿名发布，与老师和同学分享和交流，漂流瓶可能被校内其他用户捡到并回复。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2、支持对漂流瓶进行AI回复功能，无需人工输入回复，提高了回应速度和效率。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3、支持对漂流瓶进行发布、查看、回复等操作，共同探讨生涯规划问题，获取更多有益的建议和支持。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4、支持漂流瓶内容交流。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（十）反馈建议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1、可为学生提供一个便捷渠道，随时分享产品功能、体验或服务的想法建议，可为后续产品迭代提供依据。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（十一）管理后台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1、AI生涯规划管理后台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1）支持教务老师查看所有学生的AI生涯规划互动记录，可通过年级、班级、关键词、互动时间等条件查询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2）对学生互动内容，能统计出生涯规划关键词云、高频问题榜。并能够针对互动内容分为自我认知及探索类、学业规划类、职业行业类、咨询工具类、生活闲聊及其他等至少六种类型。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2、心理咨询预约管理后台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1）支持查看全校学生心理咨询预约的心理健康辅导记录，可根据校区、年级、班级、姓名及辅导时间等查询条件进行查询。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2）支持站内消息通知及邮件通知功能，支持在学生预约心理咨询或产生“特别关注”的学生，实时向心理老师推送提醒。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3、漂流瓶管理后台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1）支持对校内学生的漂流瓶互动情况进行统计与管理，对于需要关注的内容支持溯源，支持按照关键词、发布时间对漂流瓶内容进行检索查询。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通过AI自动识别，将学生发布的漂流瓶内容至少归类为8大主题：包括但不限于情感与社交、生活闲聊、游戏与娱乐、心情分享、学业与成绩、校园生活、疑问求解、不当言论、其他等，并可以提供每个主题的统计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3）支持已发布漂流瓶的总数据和本月数据统计，支持对漂流瓶进行隐藏操作，且用户无感，已隐藏的漂流瓶不可再被收到及回复。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4、AI心理对话管理后台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系统需支持对校内学生心理状态分析及数据统计，可对校内学生与AI互动终端进行沟通的情况进行实时分析，自动生成心理关键词并给出至少四级预警等级，帮助学校提早发现、及时干预；至少可统计出四种程度比例，受学业压力、考试焦虑、个人形象、家庭关系、人际关系、自信心等不少于6个因子维度影响比例及学生常问事件前十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2）对系统提示重点关注的学生，心理老师可查看该生的详细互动内容，可支持修改预警等级。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3）支持后台查看所有互动学生的心理画像。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5、AI模拟面试管理后台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1）支持总使用人数、总使用次数及本月使用次数等关键指标的可视化展示，便于快速了解学生平台使用情况。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2）支持按学校、班级、互动时间区间、学生姓名、面试院校/专业等多维度筛选，快速定位目标学生的面试数据。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3）支持在线预览并下载学生的 AI 面试报告，报告包括评分结果、整体分析和面试建议等内容，支持导出为 PDF</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29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个体辅导室2/放松室（12㎡）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智能生物反馈音乐放松系统</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系统需至少包含以下内容：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一、放松椅：外形需符合人体工程学设计，可电动收缩折叠，外套材质：真皮。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二、沙发靠背需内置心理学专用音响系统，需满足失真度（THD):〈5% at 0.1W/1KHz，声压灵敏度（SPL）:100±3(dB)at 0.1W/0.05m ，音乐保真性强。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三、沙发按摩技术需满足：可支持通过遥控器控制震动按摩，对臀部，腰部，背部，颈部震动按摩，多种智能开启模式。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四、入耳朵的音乐声：20分贝-42分贝。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系统可通过采集人体的生理指标来反映人体的心理状态。依据生物反馈原理，采用游戏、音乐、图像等多种方式进行训练。情绪压力与认知调节系统需包含：用户管理、健康检测、报告管理、系统设置以及训练模块。训练模块展示需包含：呼吸训练、音乐调试、视频调试、心理电影、松弛疗愈、睡眠入梦、沉思冥想、思绪场景、形象放松、认知疗愈、健康检测、萌芽小宠、眼动训练和应激训练等14个训练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1、用户管理：需至少包含以下三种模式：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（1）游客：需仅限部分功能使用，且数据信息不会录入系统保存。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（2）管理员：需包含用户管理、系统设置、健康检测、报告管理等模块。用户管理可记录查看本设备所有人员信息，可对人员进行编辑修改删除等操作。以及支持创建用户。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（3）注册：支持用户自主注册信息进行使用。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健康检测：用户可通过佩戴生理指标采集仪，结合心理压力测试量表，可以从生理、情绪、行为、认知等维度对来访者的心理压力进行评估。在答题过程中可对用户的生理指标进行检测以及计算，可实时显示心率、血氧饱和度、抗压能力、身体疲劳状态、精神压力、情绪指数、PNN50、SDNN、LF/HF、RMSDD、SDSD等指标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3、悬浮小球：可支持状态检测，可实时显示疲劳指数、抗压能力、精神压力。可点击隐藏和展示。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4、报告管理：可有效的保存个人数据信息，包含个人的压力评估以及使用的各类数据值，可导出PDF文件。可支持列表展示昵称、邮箱、监测项目以及监测时间，可以删除该报告。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5、系统设置：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（1）连接采集仪：可检测是否正常连接生理指标采集仪。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（2）个人信息：可对个人信息的编辑修改删除等操作。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（3）时间设置：可为训练模块设置倒计时，以秒为单位，可自主添加时长。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（4）皮肤设置：需至少包含科技蓝、涧石蓝、清水绿、橄榄绿、薄荷青、烟灰白、象牙白、柠檬黄、茉莉黄、山茶红、丹粉红、珊瑚红等十二种皮肤颜色。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6、首页训练展示模块内容需至少包含以下内容：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(1)呼吸训练：需至少包含训练方案30余部、愉悦放松6部、专业应用20余部和自由呼吸7部。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(2)音乐调试：需至少包含昂扬向上7部、激情动感7部、交响曲10余部、考试压力20余部、疗愈音乐9部、身心缓解5部、舒缓心灵14部、五行疗愈5部、音乐疗愈20余部和自然疗愈10余部。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(3)视频调试：需至少包含心理调试解压视频20余部。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心理电影：需至少包含5部电影和1部心理电视剧。通过对心理影片的欣赏,让大家可以在电影中学会释放压力,放松心情,懂得如何去调节内心;更重要的是让大家能够在以后的学习生活中更加轻松与开心。通过心理电影可以让学生直观感受心理知识,获得体验,有所感悟,促进成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(5)松弛疗愈：需至少包含8部松弛疗愈。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(6)睡眠入梦：需至少包含动物叫声10部、活力调整7部、交通声7部、空灵梵音4部、朗读声10余部、乐器独奏20余部、脑电波5部、潜意识14部、情绪调整8部、生活声20余部、心灵关爱8部和自然声40余部。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(7)沉思冥想：需至少包含17天冥想10余部、30天冥想训练20余部、冥想科普8部、睡眠冥想法7部、学习冥想2部和正念冥想4部。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(8)思绪场景：需至少包含普通场景8部。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(9)想象放松：需至少包含自然风光5部。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(10)认知疗愈:需至少包含4部控制怒火、疗愈心理、心情缓解和找回自信。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(11)健康检测：可实时显示各项生理指标。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(12)萌芽小宠：可通过生理指标变化可以控制宠物表情变化。可以设置训练时长，并出具训练报告。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(13)眼动训练：可基于EMDR眼动脱敏技术，支持调节眼动训练2种摆动的轨迹以及3种速度调节。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(14)应激训练：需至少包含灾难和自然灾害。训练过程中实时监控训练者各项生理指标，训练结束后出具详细的训练报告。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(15)生物反馈训练：需至少包含菩提树、孔雀开屏、春夏秋冬、花开富贵、枯木逢春等等生物反馈游戏训练，所有游戏包含初、中、高三种训练级别选择，训练结束可生成相对应的报告。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六、其他部件：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1）需包含生物反馈管理软件。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2）需包含无线生理指标传感器，用于处理和传感人体生理指标，并对指标进行分析。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3）需包含放松治疗控制器：包含双通道音频主机，液晶示器，键盘，鼠标。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4）需包含工作台：材料：环保型复合，可支持自由推动。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宣泄室（10㎡）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体感运动宣泄系统</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1、主要功能：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1)该系统需结合无侵入传感器技术，动态实时反馈心动指标（H-SPORT），指导用户在运动中将自身调节到最佳的运动强度状态，从而达到有效的身心调节和放松。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系统包含运动探险、障碍跑酷、砸金蛋、太空漫步、泡泡乐、奔跑吧小猴、跑步向前进、疯狂滑板车、快乐骑行（呐喊版）、呐喊宣泄、档案管理等核心功能模块。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智能引导：根据理性情绪疗法，顺应运动中自主神经系统的情况，按照运动宣泄——呐喊宣泄——档案管理三步骤，引导用户进行情绪调适。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4)运动减压区：包含两种不良情绪最佳运动方式，匹配相应的游戏场景。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5)呐喊宣泄区：来访者可通过呐喊和骑行等方式，消除宣泄者焦虑、紧张、自卑等不良负面影响。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6)支持实时采集生理指标，并自动调节游戏难度，引导健康运动，达到有效实现心理疏导效果。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7)依据不同的调适方案，在行进的全过程中，蹬踏的阻力可根据场景需求无级变化。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8)支持自动生成专业报告，并实现一键导出打印。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2、系统构成：包括控制系统、多触点显示屏、显示屏支架、骑行控制模块、心率监测模块、声音组件及运动单车等。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运动单车：最大负荷 ≤120kg；单车阻力等级： 1～8档变化；可分别在水平或垂直方向调节座垫；采用滚轮设计，方便移动设备。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显示装置：≥32寸，可自主调整视角，采用无线传输技术。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4、产品组成：至少包含体感运动宣泄系统1套；运动单车1辆；无线传输器1个；32寸触摸显示系统1套；可移动支架1个。</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30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智能呐喊宣泄仪</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一、硬件部分：电源机柜一组：材质：前壳钢化玻璃、侧面铝型材、机身冷扎板。显示屏：≥42寸LED液晶显示屏，红外触摸功能。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二、软件内容：包含呐喊宣泄、趣味小芽、指导训练、聆听自然、心理图片、情绪疏导、语音指导、心灵FM等不少于八个模块。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1、呐喊宣泄：包含5款互动宣泄训练游戏，9款趣味宣泄训练游戏。支持游戏结束后生成相应报告。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1.1动物森林：场景拟真，借鉴于套圈游戏，6种动物随声音变化被套圈，最后计算出每种小动物总得分。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1.2芙蓉盛开：含苞待放的芙蓉随着声音强度得上升，慢慢盛开，展示生命的活力和美丽。同时，声音下降，芙蓉也会缓缓闭合。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1.3毛球之旅：通过声音强度大小控制毛球前进速度和跳跃时间，提供不同场景的体验。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1.4气球升空：支持设置倒计时间，气球随着声音的变化而变化，上升的过程，如果声音持续变大，气球会爆炸。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1.5烟火星空：通过呐喊控制烟花开放的高度。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1.6呐喊方块：通过声音控制方块下落，提高空间感知能力和反应能力，同时锻炼手眼协调能力。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1.7喷泉小池：喷泉通过声音大小控制。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1.8超级漩涡：包含6款经典的漩涡图片，声音越大，图片旋转的速度越快。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1.9疯狂撞击：用声音操纵炮弹撞击木箱，最终计算得分。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1.10电闪雷鸣：雷电随着呐喊分贝的变化而变化，呐喊分贝越大打雷的声音越大，到达临界点系统反馈语音进行互动。支持任务目标开始后，5秒无反馈，自动结束训练程序。训练结束生成报告。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1.11百鸟争鸣：小鸟数量随着呐喊分贝的变化而变化，到达临界点系统反馈语音进行互动。训练结束生成报告。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1.12声波光球：将呐喊声音和光球转动结合，呐喊时获得炫目的光影效果，呐喊声音越大光球的转动越快。可停留在转动频率最快的界面。在宣泄互动时，到达临界点系统反馈语音进行互动。训练结束生成报告。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1.13灯光秀：都市灯光随着呐喊分贝的变化而变化，呐喊宣泄的音波的变化，楼房的灯光随之发生明案的变化。到达临界点系统反馈语音进行互动。训练结束生成报告。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1.14热气球：呐喊宣泄和热气球升空过程结合，呐喊声音越大气球升空的速度越快，分阶段分视角。到达临界点系统反馈语音进行互动。训练结束生成报告。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2、趣味小芽：通过触摸屏幕的指令，小芽会做出相对应的动作，缓解压力。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3、指导训练：包含八大情绪场景，来访者通过倾听，从中获取内心正能量，提升自身承受能力。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4、聆听自然：在拟真大自然中，聆听自然。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5、心理图片：由蕴含心理学原理的图片生成，能用来缓解来访者的紧张和焦虑。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6、情绪疏导：提供情绪疏导相关读物，帮助平衡情绪，减少压力。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语音指导：通过倾听帮助控制不良情绪，指导语主题≥12种，包含：恋爱情感挫折应对，人际关系沟通调整，新鲜环境适应调整，紧张焦虑情绪疏导，学习工作压力疏导，自尊自信建立调整，家庭亲子关系协调，易怒情绪调节平息，悲伤抑郁情绪缓解，拖延心理改善修正，生活工作社交障碍，挫折成败生命认知。支持男声、女声两种声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8、心灵FM：通过人或者乐器创造共鸣，使身心健康达到和谐状态。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三、心理测评：三大量表以答题的形式将近期的心理压力状况测试出来，并附带专业指导建议。支持测试完成后生成报告。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四、数据分析：记录高中低三个档的呐喊分数，呐喊宣泄完毕后给出宣泄指数并且进行排名，列表包含排名、姓名、指数等信息，可对数据进行删除操作。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五、系统管理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1.系统登录：系统支持管理员登录、自主注册和游客登录。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2.换肤功能：主页面设置更换皮肤功能。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五、加密锁一个。</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生涯教室&amp;团体辅导室（84㎡）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生涯教育资源互动终端</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一、硬件参数要求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显示尺寸：≥55英寸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屏幕分辨率：1920*1080全高清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处理器：国产自主可控处理器，四核 Cortex-A55，22nm，主频 2.0GHz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运行内存：≥4GB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机身存储：≥32GB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操作系统：鸿蒙系统6.0等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视频接口：标准HDMI高清输出接口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有线网络：千兆自适应以太网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无线网络：Wi-Fi 6高速无线协议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蓝牙版本：蓝牙5.0及以上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机身底座：白色K型稳固底座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适配标准：符合信创软硬件兼容适配规范，满足国产化应用部署运行要求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二、软件功能要求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软件需能够提供针对初中、高中全程生涯教育课程、生涯探索课程资料包，包括但不限于视频、课件、教案等电子资料，帮助广大生涯教师顺利开课。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软件特性：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1.非账号绑定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2.不限制人员登录；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3.持续不定期更新迭代；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软件参数内容：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慕课视频：需包含国内生涯专家团队研发的生涯慕课视频，并提供专业的教学辅助，能够帮助学校提升教师生涯学科素养，帮助学生初步了解生涯相关知识。资源需分为生涯规划、心理调适、素质教育、志愿填报等不少于四种标签，用户能够选择相应标签点击观看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2.需包含大学学长学姐讲解大学生活和专业情况相关内容，还原校园最真实的生活，学生能更好的了解自己心仪的专业，并提前了解大学生活。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3.包含各行各业职场人士带来对于各个职业的介绍，并介绍各自的工作经验，帮助学生更好的理解职业并且对于自己的未来发展提供了一定的参考价值。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4.需支持在线阅读面向全国初高中学生开设的生涯教育课程的配套使用教材。可供学生以及家长、教师参考、阅读。普及生涯基础知识，为指导学生的生涯探索和决策提供指引和支撑。</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生涯团辅吸顶式智能安全音响</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1.支持无线连接。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2.支持蓝牙无线接收，蓝牙支持密码模式。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3.主机标配无线耳挂麦克风，支持笔型手持麦克风、领夹麦克风及电容强指向麦克风。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4.支持微信小程序或 APP 调节设备总音量、话筒音量、切换输入音源，也可单独调节每个喇叭单元音量。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5.音箱一体化设计，内置不少于4只发声单元在独立的腔体中向四周辐射声能。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6.产品支持吸顶式安装；免调试设计，开机即用。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团体素质拓展训练箱（基础版）</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1.包含有轨电车、急速60秒、穿越生死网、动力圈、突破雷阵、动感颠球、珠行万里、袋鼠跳等活动道具。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2.内置3大系统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团体活动训练系统：单个活动团体活动训练记录、备注、场景上传等；（提供软件著作权证书及相关检测报告）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团体活动素质拓展训练系统：户外拓展项目的登记记录、信息上传、活动查询等；（提供软件著作权证书及相关检测报告）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团体活动协同追踪系统：通过调用所安装电脑摄像头捕捉追踪次数，并通过系统进行记录以及统计，今日追踪、本周追踪和本月追踪的数据。（提供软件著作权证书及相关检测报告）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①部门信息模块：系统支持部门信息的增删改查。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②视频管理模块：支持活动视频信息的增删改查。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③活动总结模块：系统每次活动的内容和过程进行信息的增删改查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④系统活动模块：活动内容包括：音乐与意象、我要、留舍最爱、背后留言、目标搜索、卖梳子、遵从指导、心中的塔、传球夺秒、比比谁高、高空飞蛋、畅想拼图、平面魔方等。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⑤基础设置和数据管理模块：可以根据所在单位信息更改名称和logo。为方便数据保存拥有强大的数据备份和还原功能。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51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学职体验中心（119㎡）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数智画框（互动版）</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一、硬件参数要求：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屏幕尺寸：≥32 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屏幕分辨率：1920*1080 全高清显示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处理器：国产自主可控处理器 八核 64 位大小核架构 ，四大核 Cortex-A76 + 四小核 Cortex-A55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机身存储：≥128GB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操作系统：鸿蒙系统 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视频输出：标准 HDMI 高清输出接口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网络规格：千兆自适应以太网、Wi</w:t>
            </w:r>
            <w:r>
              <w:rPr>
                <w:rFonts w:hint="eastAsia" w:ascii="宋体" w:hAnsi="宋体" w:eastAsia="宋体" w:cs="宋体"/>
                <w:i w:val="0"/>
                <w:iCs w:val="0"/>
                <w:color w:val="000000"/>
                <w:sz w:val="20"/>
                <w:szCs w:val="20"/>
                <w:u w:val="none"/>
                <w:lang w:val="en-US" w:eastAsia="zh-CN" w:bidi="ar"/>
              </w:rPr>
              <w:noBreakHyphen/>
            </w:r>
            <w:r>
              <w:rPr>
                <w:rFonts w:hint="eastAsia" w:ascii="宋体" w:hAnsi="宋体" w:eastAsia="宋体" w:cs="宋体"/>
                <w:i w:val="0"/>
                <w:iCs w:val="0"/>
                <w:color w:val="000000"/>
                <w:sz w:val="20"/>
                <w:szCs w:val="20"/>
                <w:u w:val="none"/>
                <w:lang w:val="en-US" w:eastAsia="zh-CN" w:bidi="ar"/>
              </w:rPr>
              <w:t xml:space="preserve">Fi 6、蓝牙 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适配标准：符合信创软硬件兼容规范，适配国产化业务场景使用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二、软件功能要求：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1、默认内置不低于5个名人名言进行轮播，有科学家、发明家、教育家、文学家等。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2、支持实现每个数智人与其所对应的名言发音在嘴型呈现上保持高度一致，确保展示效果的自然与逼真。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4、默认内置不低于5个名人智能体，可自由选择/切换人物形象和其语音对话名人，支持互动字幕实时显示。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5、支持语音唤醒和点击语音按钮双模式，如“你好，XXX先生”则能唤醒互动模式。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6、支持用户点击按钮随时停止与人物的互动模式。若在 5 分钟内用户无任何互动操作，系统将自动切换至名人名言轮播模式。</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吸顶式智能安全音响</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1.支持无线连接。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2.支持蓝牙无线接收，蓝牙支持密码模式。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3.主机标配无线耳挂麦克风，支持笔型手持麦克风、领夹麦克风及电容强指向麦克风。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4.支持微信小程序或 APP 调节设备总音量、话筒音量、切换输入音源，也可单独调节每个喇叭单元音量。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5.音箱一体化设计，内置不少于4只发声单元在独立的腔体中向四周辐射声能。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6.产品支持吸顶式安装；免调试设计，开机即用。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学业职业大学查询互动终端</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一、硬件参数要求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显示尺寸：≥55英寸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屏幕分辨率：1920*1080全高清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处理器：国产自主可控处理器，四核 Cortex-A55，22nm，主频 2.0GHz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运行内存：≥4GB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机身存储：≥32GB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操作系统：鸿蒙系统6.0等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视频接口：标准HDMI高清输出接口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有线网络：千兆自适应以太网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无线网络：Wi-Fi 6高速无线协议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蓝牙版本：蓝牙5.0及以上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机身底座：白色K型稳固底座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适配标准：符合信创软硬件兼容适配规范，满足国产化应用部署运行要求二、软件参数内容：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软件需至少包含大学库、专业库、职业库、选科查询、学业职业群、升学路径和高校排名等内容，能够为学生提供大量的基础数据，帮助学生进行选科决策、生涯决策。支持用户直接在一体机点击相应模块进行查询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2.大学库：需能够查询全国3000余所高校院校概况、开设专业、招生简章、历年分数线、专业分数线、招生计划数等信息；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3.专业库：需支持查询全国1000多个本科专业、专科专业的专业介绍、开设院校、专业特质、就业解析和对应学业职业群等信息；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4.选科查询：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1）需支持筛选查询各高校专业的高考选科要求。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需支持查看常见选科组合专业覆盖率、支持通过选科组合，查看该选科组合近5年的专业覆盖率趋势，支持查看该选科组合可报考的院校及专业明细。支持根据省份、院校类别、院校特色、学历层次、院列举办筛选学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3）支持查看热门专业选科要求，支持学生、教师根据院校查看并选择多个感兴趣的专业，根据专业查看可选的选科组合。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4）支持查询结果显示目标选科组合可报考的所有院校，以及该目标选科组合在各院校可报考的专业列表。同时，支持查看所有感兴趣专业可选的选科组合。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5）支持查看TOP院校选科要求占比数据，支持通过院校查询院校选科分布详细数据。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6）在数据查询结果中，支持根据省份、院校类别、院校特色、学历层次、院列举办筛选学校，查询结果为目标院校开设的各专业的选考要求，支持用户在结果中进行院校及专业名称的搜索。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5.职业库：支持查询全国涵盖12个大类700余种常见与新兴职业信息，帮助学生更好地了解职业内容、职业职责等信息，需包括职业定义、职责、职业前景、职业资格及能力、职业规划及职场案例等。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6.学业职业群：支持将学生特质、学科、专业和未来职业的信息相关联。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7.升学路径：提供不少于10种升学路径讲解、招生学校、录取流程时间和延伸问答等，帮助学生探讨未来发展。</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互动触摸系统</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1.支持将任意大小的知形换成多点触控区域，实现用户与影像的触控互动；可达到触屏的效果，形成与屏幕内容的互动。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2.支持GigE千兆网口面阵相机；支持Type-C接口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3.支持CMOS全局快门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学职体验中心（119㎡）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人工智能辅助显示系统</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主频800Mhz开发板并行使用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内存：≥64G内存存储空间、满足DDR4协议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SSD：≥2TB固态硬盘、可配置多线程虚拟机系统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显卡：≥8G显存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散热：水冷散热器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满足人工智能计算模块高频数据传输要求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主频：800MHz国产架构开发板，支持多设备并行协同运行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内存：≥64GB，兼容DDR4标准协议，适配国产化算力调度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SSD：≥2TB高速固态硬盘，支持多线程虚拟化系统部署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显卡：≥8GB独立显存，适配国产算力运算框架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散热：一体式水冷散热模组，保障高负载稳定运行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性能要求：符合信创算力设备规范，满足AI计算模块高频数据交互传输需求</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VR学职立式体验探索终端</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产品需包含学职信息内容，根据学习内容、培养能力、对应中学科目、毕业生就业领域等，将中学学科，大学专业及未来毕业后的就业知识相衔接的科学体系内容。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包含VR学职体验课程：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提供身临其境VR体验的教育课程资源，包含各类学科、专业、职业的虚拟实境。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硬件参数要求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（一）立式一体机：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A、显示器参数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屏幕尺寸（对角线）：≥43英寸液晶屏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最大显示尺寸：930.24（H）*523.26（V）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屏幕分辨率：1920x1080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对比度≥3000：1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可视角度≥178°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图像模式：16：9/全屏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亮度≥350cd/m2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（二）VR 主机参数：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信创主机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操作系统大版本：统信UOS V20桌面操作系统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CPU型号：8核 8 线程国产 x86 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主频 / 睿频：2.7GHz / 3.0GHz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缓存：8MB 二级（4MB×2），无三级缓存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制程：16nm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视频接口：VGA接口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产品尺寸：长625mm 宽499mm 高363mm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内存：8G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存储：512G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（三）：软件功能要求：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一款主要针对心理科普教育推出的VR模拟体验产品，集成了虚拟现实技术、三维全景、三维建模、仿真引擎等高科技技术的产品。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1.图标：软件中包含的179个vr体验课程资源均有与之相对应的简易小图标，分门别类。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2.纯净系统：体验全程为纯净版内容，无广告植入及弹窗，可根据类别进行内容筛选。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软件内容：体验者可以使用该内容学习不少于【心理脱敏】、【心理放松】、【心理宣泄】、【全景视频】、【应激逃生训练】、【营养与健康】、【突发公共卫生事件】、【文化自信】等31大类类别以及不少于【心理检测】、【防社交恐惧】、【预防游戏沉迷】、【心理知识学习】、【社交恐惧症】、【幽闭恐惧症】、【恐高症治疗】、【焦虑症】、【心理自我检测】、【心理压力测试】、【休闲体验】、【音乐室】、【想象放松】、【肌肉放松】等170多个vr体验课程资源。各类学科、专业、职业的虚拟实境。</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AI下棋机器人（五合一）</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支持象棋、围棋、国际象棋、五子棋、国际跳棋。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屏幕尺寸：≥7英寸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联网方式：支持手机热点、Wi-Fi</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电源方式：电源适配器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运行内存：≥1GB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机械臂：三自由度、气泵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扬声器：不低于4Ω 3W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语音输入：支持麦克风输入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棋盘接口：支持USB Type-C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棋局摄像头：顶部RGB 双摄像头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感知摄像头：前部RGB摄像头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输入电流/电压：12V 3A </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AI围棋机器人（专业版）</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产品尺寸：≥170mm × 200mm × 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产品重量：≤3kg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机械结构：包含三自由度机械臂，电磁铁驱动，转轮式取放子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视觉系统：包含顶部 RGB 棋局摄像头、前部 RGB 感知摄像头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音频配置：包含麦克风、4Ω 3W 扬声器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数据接口：包含USB Type-C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棋力水平：需覆盖入门至超职业九段，支持 9 路 / 13 路 / 19 路棋盘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核心功能：需包含AI 复盘讲解、内置习题训练、在线对战、棋谱分享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包装清单：需包含机器人主机、19 路标准棋盘、9 路 / 13 路硅胶棋盘、黑白棋盒、镜头清洁布、电源适配器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AI象棋机器人（旗舰版）</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一、产品硬件参数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1、机器人：≤4kg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2、棋盘：≤2kg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3、棋子：≤1kg（单个：16g）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4、电源线：0.13kg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5、单彩盒包装：≤3kg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6、产品净重：≤5kg（机器人+棋盘+棋子+电源线）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7、整机含彩盒重量：≤8kg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8、含卡通箱重量：≤9kg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9、≥5寸IPS高清显示屏，分辨率：≥1280x720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10、毫米级精准操控机械臂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11、支持人脸识别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12、象棋专业AI语音互动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13、支持2.4GHz WIFI网络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二、软件功能：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1、AI教学（16-13级）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2、考证4次 （16-13级）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3、棋力闯关（共26关，可使用AI支一招以及悔棋功能）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4、残局挑战（共100关）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5、巅峰对决（最高棋力对战，国际级专业棋手，大师级水准，需要联网，可使用AI支一招功能）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6、联网对战，好友远程PK约战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7、自摆棋局（在联网状态下，用户可以选择自摆棋局模式，即可通过自行摆放想走的棋局对弈）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8、开局基本原则（共12节课，包含开局基础思维、开局常犯错误和常见开局介绍三部分，全面掌握开局知识）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9、基础杀法（共10节课，包含所有常见单子杀法，从概念讲解、例题演示、课后练习、自由对弈四个阶段逐步提升知识理解)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10、AI打谱（对象棋[历史名局-50局]、[经典古谱-797局]、[热门赛事-200局]，棋谱进行拆解，由AI对名局展开深入讲解，剖析名家对弈思路。对局过程中用户可随时脱谱行棋）</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75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AI拍摄眼镜体验</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 鸿蒙系统6.0等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存储器：≥64GB，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支持WiFi6，2.4 GHz 和 5 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分布式双频天线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蓝牙6.0连接,支持蓝牙中继网络，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2.拍摄传感器：≥ 1200w 像素，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照片分辨率：最大可支持 4096 × 3072 像素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视频分辨率和帧率：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最大可支持 1920 × 1440 像素，帧率 30 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3.音频技术：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通话智能降噪；AI 轻声交互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充电方式 ：有线充电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USB Type-C（5V1A 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电池容量 ：≥252mAh，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充电时间：≤45min 充满，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续航：拍摄≥78分钟，音乐≥9小时，语音≥8小时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外侧LED灯 单色灯：显示状态(拍照、摄像等)；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内侧LED灯 多色灯：显示状态(拍照、摄像、语音、电源、配对等)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6.防水认证：IP54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重量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不带衬片：35.5 g ± 1 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带衬片：40.5 g ±1 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带镜片（500 度 1.67 折射率）：47.3 g ± 1 g</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巨幕观影体验智能眼镜</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1.外观：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眼镜尺寸：≥165mm×148mm×49mm，眼镜重量：≤75g，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屏幕尺寸比例：16:9，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屏幕材质： OLED，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分辨率：单目≥1920*1080，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亮度≥70Onits 支持十级亮度调节，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刷新率：≥120Hz，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对比度：100000:1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 3D显示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3.音效：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内置音响：定制音腔设计，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防漏音：远场消音算法，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降噪：支持通话降噪算法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麦克风：双麦克风阵列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数据接口：Type-C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近视调节：支持0～600度近视调节</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智能无弦吉他</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机身重量：≤1800g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机身尺寸：折叠状态≤420×170×85mm(长x宽x厚)，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展开状态≤810×270×85 mm(长x宽x厚)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琴身材质：外壳主体采用ABS+PC免喷涂复合材料，金属配件采用阳极氧化喷砂铝合金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工作环境：0-40摄氏度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折叠损耗：≥8,000次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拨片损耗：≥1,000,000次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和弦垫损耗：≥1,000,000次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续航时间：使用内置音箱≥6小时，使用外接设备≥12小时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自动关机时间：≥10分钟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充电：最大支持 DC 5V 3A ，支持USB Type-C充电，充电时间≤ 2 小 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电池容量：锂聚合物电池 3.7V 2000 mAh×2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扬声器规格：至少1个5W高频扬声器、1个20W重低音扬声器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音频输出接口：支持3.5mm音频接口</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音乐密码智能电钢琴</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音乐密码智能电钢琴 产品尺寸：长宽高（340+120）*125*30mm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电池容量：≥2200mAh 锂电池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充电时间：≤1.5小时充满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无线传输：支持 蓝牙5.0BLE 、支持蓝牙MIDI</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充电接口：支持 USB  Type-C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电源输入：5V/2A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支持设备：蓝牙4.0BLE版本以上，部分机型不支持蓝牙MIDI 可插线使用。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 鸿蒙系统5.0 系统等</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AI数智人展示互动终端设备</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一、硬件参数要求：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系统平台：鸿蒙系统6.0等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处理器：国产自主可控处理器 八核 64 位大小核架构 ，四大核 Cortex-A76 + 四小核 Cortex-A55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编解码能力：全兼容主流音视频、图像格式解码，支持高清多媒体硬解码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显示规格：4K超高清屏幕，分辨率3840×2160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运行内存：8GB 高速内存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机身存储：128GB 固态存储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视频接口：标准HDMI高清输出接口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网络配置：千兆有线以太网、Wi-Fi 6无线协议、蓝牙5.0无线互联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二、软件功能要求;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（1）数字人形象：默认数字人形象不低于4种。选定数字人形象需支持通过AI大模型驱动，提供实时语音识别与交互功能。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（2）产品支持个性化定制及维护学校相关内容，可快速呈现学校历史、特色课程、荣誉成果等信息；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（3）智慧宣传：支持通过快捷入口展示校园文化、师资力量、学生活动等品牌形象；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（4）生涯互动问答：产品需内置AI生涯导师系统，支持通过对话式交互解答学生关于学业规划、职业方向的困惑，并能够给出个性化建议。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（5）校园地图导航：支持文字检索与路径指引，快速定位教学楼、实验室、场馆等关键区域；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（6）支持数字人形象定制；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（7）可支持特定语音唤醒和点击语音按钮双模式；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（8）支持学校自定义公告的发布。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三、数智人形象IP定制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支持数智人形象定制与知识库。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1.指定IP定制一项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2.交互智能体定制，包含交互风格定制、个性化路径导航、校园资讯知识库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3.快捷导航定制，包含操作界面快速问答定制。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四、数智人课程资源包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1.提供数智人课程资源包；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2.提供2次教师培训服务；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机器狗</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1.基本尺寸和材料：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站立尺寸≥70cm x 30cm x 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关机趴下尺寸约76cm x 30cm x 20cm，铝合金和高强度工程塑料。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2.性能和重量：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带电池重量不低于15kg，工作电压：28V~33.6V。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载荷/负载重量：不低于8kg。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3.运动能力：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运动速度0~3.5m/s，爬楼梯高度16cm，支持40°斜坡运动。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4.电机与传感器：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≥12个电机，最大关节扭矩约45N·m，具备UWB伴随。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5.通信与支持：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具备4G模组，支持离线语音和GPT。</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生涯智能空间</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一、静音舱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1.规格：整体尺寸≥W1500*D1200*H2200mm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体要求：主要结构包含航空铝材、碳塑墙板、钢化玻璃三大主材，无木质成分、无钣金、无填充吸音棉、主要结构无螺钉，要求通风、隔音、易清洁、防火、防潮、防霉、抗腐蚀、耐磨、可多次拆装、隔音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3.整体隔音量：舱门关闭，通风口正常打开的情况下，表观计权声压隔声值Dp,w'≥25dB。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4.隔音主材：采用模块化碳纤维复合隔音板结构，小空间要求无木板和铁板、无填充吸音棉方式实现隔音，隔音主材需满足防水、零甲醛排放、阻燃、抗酸、抗盐、抗腐要求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5.隔声玻璃：优质玻璃，安全、环保，无喷漆。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6.新风：具有低噪声新风系统，保持舱内空气流通。安全、环保。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7.照明：支持通过自动感应或手动控制运行。光源符合视觉健康标准，采用4000K自然光色温LED照明及以上。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8.安装：具有简单快捷的安装方式，根据用户需求不限次数、多次拆装，灵活调整安装、摆放位置。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9.外饰：具有环保外饰面（无油漆）。耐磨、抗污染、防火、防潮、抗紫外线。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10.内置电源接口：具有安全电源供应系统，适配100-240V/50-60Hz电源供应系统，符合不同电源使用。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二、生涯教育AI智能互动终端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显示屏：≥27英寸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屏幕分辨率：1920*1080全高清规格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处理器：国产自主可控处理器 八核 64 位大小核架构 ，四大核 Cortex-A76 + 四小核 Cortex-A55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运行内存：≥8GB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机身存储：≥128GB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操作系统：鸿蒙系统6.0等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视频输出：标准HDMI高清输出接口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网络规格：千兆自适应以太网、Wi</w:t>
            </w:r>
            <w:r>
              <w:rPr>
                <w:rFonts w:hint="eastAsia" w:ascii="宋体" w:hAnsi="宋体" w:eastAsia="宋体" w:cs="宋体"/>
                <w:i w:val="0"/>
                <w:iCs w:val="0"/>
                <w:color w:val="000000"/>
                <w:sz w:val="20"/>
                <w:szCs w:val="20"/>
                <w:u w:val="none"/>
                <w:lang w:val="en-US" w:eastAsia="zh-CN" w:bidi="ar"/>
              </w:rPr>
              <w:noBreakHyphen/>
            </w:r>
            <w:r>
              <w:rPr>
                <w:rFonts w:hint="eastAsia" w:ascii="宋体" w:hAnsi="宋体" w:eastAsia="宋体" w:cs="宋体"/>
                <w:i w:val="0"/>
                <w:iCs w:val="0"/>
                <w:color w:val="000000"/>
                <w:sz w:val="20"/>
                <w:szCs w:val="20"/>
                <w:u w:val="none"/>
                <w:lang w:val="en-US" w:eastAsia="zh-CN" w:bidi="ar"/>
              </w:rPr>
              <w:t xml:space="preserve">Fi 6无线协议、蓝牙5.0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适配要求：符合信创体系软硬件适配标准，适配国产化办公应用运行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三、AI互动软件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（一）AI生涯规划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于人工智能技术，提供多元升学途径的生涯规划师指导，针对高考升学途径，结合历年院校、专业的招生录取信息，为学生提供院校及专业选择建议；针对留学升学途径提供海外院校、专业、申请途径等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2、对于学生提问有关院校、专业录取信息，AI可用文本、表格等多形式呈现，语音同步播报，并随时可暂停AI的语音播报。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3、支持结合学生的生涯测评等个人数据，结合测评结果为学生推荐适合专业，用户提供个性化的生涯规划建议。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4、能够与学生实时进行语音对话，支持通过语音、文字形式开始对话，即时给予反馈。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针对高考升学路径可至少提供但不限于自我探索、学职探索、选科决策、志愿填报、行动建议等多维度的对话引导；针对留学升学途径可至少提供但不限于国际各类课程体系介绍、当地生活和文化了解、签证及法律问题、录取成功率等多维度的对话引导，从而分析用户兴趣、优势和个性化需求，推荐适合的职业方向和发展路径，为用户提供全方位的生涯规划指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6、学生与AI生涯规划师互动记录除了在AI互动终端可以查看，还可以在PC端查看，另可通过关键词、时间条件快速找到。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（二）自我探索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1、支持对学生的兴趣、性格、多元智能在线测评。答题过程中支持查看答题卡，跳转至已完成作答的题目。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2、能够在线查看测评结果，包括兴趣类型、性格类型、优势智能及与学生个人特征相符的代表人物。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3、完成测评后，支持逐步解锁查看学生的个人兴趣特征、性格优势与劣势等个人特质结果分析，支持查看学生的未来专业方向推荐和职业领域推荐结果，生成学生的生涯关键词云图。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4、能够AI生成学生专属的个人评价引导语和生涯导师寄语，针对学生的个人特质给予个性化评价。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5、测评报告结果保存在学生个人账号中，结果数据与web系统互通，支持学生登录web端系统平台查看更加专业详细的个人测评报告。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(三)AI模拟面试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支持与AI模拟面试官进行综合评价招生、春季高考面试模拟，面试内容包含学生自我认知、专业素养、问题分析能力、未来规划方向、价值观导向等多方面内容，支持多次模拟练习。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2.模拟面试完成后，能够自动生成面试报告。报告将从面试回答的逻辑性表现、个人未来规划的清晰度、专业知识储备情况、学科素养水平等维度，对面试结果进行分析，并给出改进建议。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3.能够提供与综合评价招生相关的报考指导资料及微视频内容。内容包含综合评价招生政策要求、流程安排及备考要点。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（四）学职探索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1、学职探索功能需至少包含：校园风采、职业库、专业库、中国大学库、中国大学排名、学业职业群模块。助力学生形成清晰的学职路径认知。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2、校园风采：支持对国内顶尖高校进行校园风采展示，通过高品质的校园图片轮播，激发学生探索兴趣与向往感。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3、职业库：支持查询全国涵盖12个大类700余种常见与新兴职业信息，帮助学生更好地了解职业内容、职业职责等信息，需包括职业定义、职责、职业前景、职业资格及能力、职业规划及职场案例等。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4、专业库：需支持查询全国1000多个本科专业、专科专业，支持高效查询与个性化探索，通过专业介绍、开设院校、专业特质，提升学生专业认知深度，促进科学选科、择校、择业决策。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中国大学库：需支持查询全国3000多所本科、高职（专科）院校，支持多维度查询与自主搜索，通过院校概况、院校录取、专业录取、招生计划和招生章程等信息助力学生全面了解高校特征，科学规划升学路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6、中国大学排名：支持查看全国大学排名、“双一流”名单、QS 世界大学排名、全国学科评估、世界大学学术榜，帮助学生多角度了解高校办学实力与学科优势。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7、学业职业群：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通过专业的分类体系，将大学专业依照其专业特质、关联职业等，进行再分类，组成七大学业职业群，每类学业职业群都有对应高中科目、重点培养能力、适宜职业形态，详细介绍每个分类的相关学科、职业情境、视频讲座等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通过将学生特质、学科、专业和职业相关联，帮助学生更好地了解职业内容、职业职责等信息，帮助中学生进行专业定位及选科决策。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2）支持以图谱的形式查看专业之间的层级关系和关联性，能够通过专业职业群进一步查看关联的学科门类、一级学科及具体专业。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3）支持查看各个专业的全国高校毕业生规模、性别比例、满意度等统计数据。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4）支持查看专业的开设院校及院校排名情况，能够查看各个院校本专业的录取分数线。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5）支持查看专业的基本信息、专业简介、主要课程、选科要求、相近专业、就业走向等数据。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6）提供不少于100个由高校各专业学长学姐亲身讲述的专业介绍视频，帮助学生了解大学专业。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7）支持查看每个专业所适合的兴趣、性格、能力特质，帮助学生结合个人特质，更好地找到适合自己的专业、职业和努力方向。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（五）海外院校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1、可提供全球范围内至少270所院校的详细介绍、强势专业、录取要求、申请攻略、留学费用供学生了解参考。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（六）生涯工具箱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1、可提供生涯规划工具，帮助学生理解人的生涯发展阶段、了解高中生涯规划的基本过程，学习使用生涯工具辅助决策。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2、可提供兴趣、性格、能力等方面的测评基本概念介绍与解读，帮助学生结合自身测评报告结果进行深入学习。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（七）AI心理对话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1、支持AI心理对话，角色/音色/称呼都可自定义：学生可以根据个人喜好自由组合角色、音色和称呼，至少支持9种角色选择，18种音色选择，提供不同的语音风格。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2、支持与学生自创的AI心理伙伴在线连线进行语音沟通。基于人工智能技术，理解用户情感需求并给予回应，为用户提供共情、引导、建议为逻辑线的情感支持和心理辅导。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3、支持AI心理对话个性化开场，可根据学生以往的互动内容，提炼其情感需求和关注点的开场。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4、支持对话中随时暂停、继续，对话过程中随时角色头像模式、字幕模式任意切换，看到本次对话的文字记录。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5、通过分析学生与AI的对话内容、语音语调、情绪表达等信息，能够勾勒出一个独特的、动态更新的心理画像。画像可展现学生的心理状态，揭示隐藏的情绪压力来源、性格倾向。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AI心理对话能根据学生对话内容生成心理画像，包括整体呈现、关键词云、不少于7大维度的AI解读（至少包含学业压力、个人形象、人际关系、家庭关系、考试焦虑、自信心、其他维度等），AI能够为学生提供个性化的建议，心理画像除了在AI互动终端可以查看，还可以在PC端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7、学生与AI心理伙伴每产生不低于3组对话，AI心理对话能根据学生的对话内容进行实时分析生成画像，新增互动对话内容后会同步更新画像内容。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（八）心理咨询预约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1、提供心理咨询预约功能，学生能够在平台上预约校内心理老师，进行专业的心理咨询，为用户解决学习与生活中遇到的问题。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2、可支持学生预约至少5大类心理问题，包括但不限于情绪问题、行为问题、学业问题、人际交往、个人发展等方向。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3、支持查看学生个人的历史预约记录。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（九）漂流瓶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1、学生可将自己的心愿、目标和疑问以漂流瓶的形式匿名发布，与老师和同学分享和交流，漂流瓶可能被校内其他用户捡到并回复。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2、支持对漂流瓶进行AI回复功能，无需人工输入回复，提高了回应速度和效率。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3、支持对漂流瓶进行发布、查看、回复等操作，共同探讨生涯规划问题，获取更多有益的建议和支持。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4、支持对自己感兴趣的漂流瓶内容进行点赞，内容转发，具备互动性和共情气氛交流。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（十）反馈建议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1、可为学生提供一个便捷渠道，随时分享产品功能、体验或服务的想法建议，可为后续产品迭代提供依据。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（十一）管理后台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1、AI生涯规划管理后台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1）支持教务老师查看所有学生的AI生涯规划互动记录，可通过年级、班级、关键词、互动时间等条件查询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2）对学生互动内容，能统计出生涯规划关键词云、高频问题榜。并能够针对互动内容分为自我认知及探索类、学业规划类、职业行业类、咨询工具类、生活闲聊及其他等至少六种类型。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2、心理咨询预约管理后台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1）支持查看全校学生心理咨询预约的心理健康辅导记录，可根据校区、年级、班级、姓名及辅导时间等查询条件进行查询。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2）支持站内消息通知及邮件通知功能，支持在学生预约心理咨询或产生“特别关注”的学生，实时向心理老师推送提醒。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3、漂流瓶管理后台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1）支持对校内学生的漂流瓶互动情况进行统计与管理，对于需要关注的内容支持溯源，支持按照关键词、发布时间对漂流瓶内容进行检索查询。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通过AI自动识别，将学生发布的漂流瓶内容至少归类为8大主题：包括但不限于情感与社交、生活闲聊、游戏与娱乐、心情分享、学业与成绩、校园生活、疑问求解、不当言论、其他等，并可以提供每个主题的统计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3）支持已发布漂流瓶的总数据和本月数据统计，支持对漂流瓶进行隐藏操作，且用户无感，已隐藏的漂流瓶不可再被收到及回复。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4、AI心理对话管理后台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系统需支持对校内学生心理状态分析及数据统计，可对校内学生与AI互动终端进行沟通的情况进行实时分析，自动生成心理关键词并给出至少四级预警等级，帮助学校提早发现、及时干预；至少可统计出四种程度比例，受学业压力、考试焦虑、个人形象、家庭关系、人际关系、自信心等不少于6个因子维度影响比例及学生常问事件前十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2）对系统提示重点关注的学生，心理老师可查看该生的详细互动内容，可支持修改预警等级。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3）支持后台查看所有互动学生的心理画像，可从学生姓名、年级、班级、预警等级程度等维度进行查询，查询内容包括但不限于心理关键词、互动时间、历史详情及AI画像等。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5、AI模拟面试管理后台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1）支持总使用人数、总使用次数及本月使用次数等关键指标的可视化展示，便于快速了解学生平台使用情况。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2）支持按学校、班级、互动时间区间、学生姓名、面试院校/专业等多维度筛选，快速定位目标学生的面试数据。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3）支持在线预览并下载学生的 AI 面试报告，报告包括评分结果、整体分析和面试建议等内容，支持导出为 PDF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（十三）配套讲座服务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1、为高一、高二学生各提供两场生涯规划相关讲座服务。每场1小时。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2、生涯规划讲座讲师要求具有生涯规划师认证资质证书。</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学生测评软件</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功能描述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科学理论为依据，以国际经典量表为基础，由生涯教育智库研发的本土化量表，为中国中学生提供专业、科学的在线测评工具，帮助学生深入认识自我、了解外部世界，树立和深化生涯规划意识和能力，更好的应对生涯决策场景；同时系统包含21世纪核心素养测评，助力学校对学生核心素养的培养与评价。系统提供多维度的测评数据统计与分析，从老师、学校、教育局各自的视角去了解和把握学生的特点，便于老师、学校开展和建设更具有针对性的生涯课程和教育，为学生的生涯规划助一臂之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1、生涯经典测评列表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（1）学生在线答题测试，分别对学生的兴趣、能力、性格、学习生活适应性及生涯发展水平认知进行综合测评，以帮助学生实现生涯自我探索。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（2）对学生综合素养，包括学习力、批判性思维能力、问题解决能力、创造力和沟通与合作能力进行测评，全方位测评学生核心能力。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（3）满足对同一所学校的测评情况的趋势分析，可按入学年份、年级等维度筛选；同时可以查看对同一批入学学生的连续变化的趋势，通过可视化图表直观展示。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2、个体报告（学生端）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（1）在线生成并查看下载专业的解读报告。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（2）测评结果与生涯相关产品绑定，包括学职信息、选科决策、过程激励等的专业推荐功能，比如，可根据学生测评结果推荐相应的大学专业。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（3）报告对比：实现对学生多次的测评结果横向对比。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3、个体报告（教务端&amp;教师端）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（1）可通过年级、班级、性别、次数、关键字筛选搜索，实时查看每一位学生的测评记录，并下载测评报告。也可批量下载。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（2）实现对同一学生多次的测评结果对比；也可以实现多个学生的横向对比。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4、统计分析（教务端&amp;教师端）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（1）可通过测评类型、入学年份、班级、性别、测评次数等信息对学生的测评结果进行筛选搜索，统计出有效问卷比例、平均完成时间、单题得分统计等。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（2）可一键导出excel原始数据以做进一步分析。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5、团体报告（教务端&amp;教师端）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（1）可以实时查看校内某个团体（可通过班级、年级、性别筛选）每个测评类型的每一次结果的统计分析，包括参与人数、未参与人数及各个测评所展现的不同维度结果的可视化图表直观展示。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（2）也可查看下面班级在各个维度下的具体详情。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6、异常数据查询导出（教务端&amp;教师端）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实现对学生中未参与测评、答题时间异常、多种维度得分一致、有焦虑倾向、测谎得分过低等异常数据的查询与导出。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7、测评管理（教务端&amp;教师端）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实现可自主添加校本特色问卷，并可一键导出答题数据进行统计分析。</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学职信息软件</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功能描述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学职信息给学生做生涯决策时提供外部探索参考信息。包含大学库、专业库、职业库、选科查询、学职群、升学路径，为学生提供大量的基础数据，帮助其进行选科决策、生涯决策。数据依据高等学校官网、教育考试院公布的信息，整理高考考试、招生等相关数据，保持实时更新，保证信息采集的权威性和及时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1、大学排行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各维度全国高校排行榜，包括世界大学学术排名、QS世界排行榜、211大学名单、985大学名单、专业薪酬排行、学科适合专业排名、学科前十排名等。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2、院校查询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查询全国3000多所高校院校概况、开设专业、招生简章以及自招简章、历年分数线、招生计划数、全景校园等信息；支持用户通过搜索模糊匹配搜索学校，支持根据院校属地、院校类型、院校特色、院校举办者、学历层次筛选学校。支持用户查看该院校的选科详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3、专业查询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查询全国共1400多个本科专业、专科专业的开设院校、专业特质、就业解析和对应学职群等信息，专业目录与教育部《普通高等学校本科专业目录（2020年版）》、普通高等学校高等职业教育（专科）专业目录（2015年）》同步，随政策更新；支持用户根据搜索模糊匹配搜索专业，也支持根据专业门类、一级学科和专业名称来查找专业；支持通过“专业名称”查看所有开设该专业的不同院校的选科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4、选科查询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通过全国各省份高考改革政策开发的查询工具，支持不同省份高考改革政策下的院校专业选科要求，帮助学生进行多维度的选科查询；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5、职业库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可查询全国800多个职业信息，帮助学生更好地了解职业内容、职业职责等信息；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6、学职群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学职群：“学职群”是学业职业群简称，通过详细介绍学职群分类、相关学科、职业情境、视频讲座等内容，帮助学生建立专业、职业联系。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学业职业衔接信息：将学生特质、学科、专业和未来职业的信息相关联，不仅包含文字、图片信息，还包括实景地图、在校大学生视频，职场人士视频。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专业微视频：支持依据学职群分类查询的相关专业视频，帮助学生了解大学专业。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职业微视频：实现依据职业分类、学职群分类查询的相关职业视频。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7、升学辅导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升学路径：提供学生多种升学路径讲解、招生学校、录取流程时间和延伸问答等，帮助学生探讨未来发展。</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教辅资源软件</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功能描述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生涯教辅系统提供针对初高中全程生涯教育课程、生涯探索课程的资料包，包括视频、课件、教案和教具，帮助广大教师顺利开课。教辅课程多元化，通过不同阶段、不同目标、不同任务，完整展示生涯教育。教师可以将优质资源上传分享，自我管理教辅资源，实现生涯教辅的资源共享，建立本校的优质生涯资源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1、专家慕课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支持教师在线浏览国内生涯专家团队研发的生涯慕课视频，提供专业的教学辅助，帮助学校提升教师生涯学科素养，帮助学生初步了解生涯相关知识。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2、生涯教辅资源包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（1）配合生涯教育智库的线下骨感教师培训，覆盖初高中生涯教育所有主题的多元教学资料包，包含教案、教具、课件等。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资源包可分类检索相关主题：高中教辅主题包括”认识‘我是谁’”，“大学准备和多元发展”，“高中生涯启蒙”，“通晓未来及选择”，“高中学习适应生活”，“科学与志愿填报”，“学习与成长”；初中教辅主题包括“初中生涯启蒙”，“初中自我探索”，“生涯机会探索”，“素养提升”，“选择与行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（3）每篇教案均含本课的教学意义、教学目标、教学准备、课时安排、具体的教学流程（活动时间以及解读）、与主题相关的参考信息等内容。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（4）教具：配合生涯笔记教材和教案里的主题活动内容，提供相关教具方便老师顺利开展课程，提供多样化的教学方法。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3、生涯探索系列课程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帮助学生深入了解学科-专业-职业系列生涯探索课程，提供课程的资料包，包括课件、教案、拓展资料、及音视频等，并将资料包建制在互联网的数据云平台上，供用户一键下载相关资源，帮助广大教师顺利开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4、拓展资源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为拓展学生教师的生涯意识，提供学生及教师生涯相关书籍、电影介绍信息，师生可以根据不同主题类型进行筛选查看。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5、生涯书籍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支持在线阅读面向全国初高中学生开设的生涯教育课程的配套使用教材。可供学生以及家长、教师参考、阅读。旨在普及生涯基础知识，为指导学生的生涯探索和决策提供指引和支撑。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6、共享资源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支持学校及教师自己上传优秀教学资源案例，丰富专业的课程素材，并支持多种格式，达到多课程适用。同时可管理本人上传的权限，个性化设置主题分类。</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83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家校社系统心理平台系统</w:t>
            </w:r>
            <w:r/>
          </w:p>
        </w:tc>
        <w:tc>
          <w:tcPr>
            <w:shd w:val="clear" w:color="auto" w:fill="auto"/>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1、家校社协同心理测评服务：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（1）支持小学、初中、高中学生心理成长档案建立；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（2）定期学生心理筛查，输出“一生一策”学生心理报告；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（3）学生心理异常情况动态预警上报体系；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（4）输出校级、年级、班级、个体报告及教育局危机与发展大数据分析结果，并支持输出家长版学生报告；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（5）学生心理综合定级及分级干预指导；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（6）提供学生多元智能、人际交往、学业发展等十大类评估工具与对策指导；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（7）可向家长提供家庭教育类调研及报告；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（8）教师心理健康状态与发展性评估。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2、课程内容资源：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（9）全国优质心理咨询及医疗资源转介通道；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（10）校园霸凌、自主调适等700余项各类学生心理健康教育资源；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（11）全年面向各类群体开展心理健康教育线上直播课至少十场；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（12）面向家长提供家庭教育学习资源。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3、公益资源支持：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（13）教师心理健康教育能力提升国培计划课程；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（14）教师心理暖心义诊服务。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（备注：以教育部教师工作司“全国教师心理健康教育能力提升专项行动”整体工作规划为准）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4、服务项目支持与技能培训：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（15）提供项目启动培训：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1）心理测评意义、量表及报告使用；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2）项目执行流程及进度计划；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3）云平台使用及注意事项；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4）分发项目资料模板（如保密协议、告家长书等）；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5）心理服务体系构建实施路径简介；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（16）如何做好学生测评后的心理访谈与危机干预与预防工作培训；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（17）提供日常平台相关的咨询及支持服务。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ind w:right="0"/>
        <w:jc w:val="left"/>
        <w:keepLines w:val="0"/>
        <w:keepNext w:val="0"/>
        <w:pageBreakBefore w:val="0"/>
        <w:spacing w:line="360" w:lineRule="auto"/>
        <w:widowControl w:val="off"/>
        <w:tabs>
          <w:tab w:val="left" w:pos="0"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注：图片仅供参考，并非指定型号或产品，投标产品满足采购需求，无实质性负偏离。</w:t>
      </w:r>
      <w:r/>
    </w:p>
    <w:p>
      <w:pPr>
        <w:spacing w:line="360" w:lineRule="auto"/>
        <w:rPr>
          <w:rFonts w:hint="eastAsia" w:ascii="宋体" w:hAnsi="宋体"/>
          <w:b/>
          <w:color w:val="000000"/>
          <w:sz w:val="30"/>
          <w:szCs w:val="30"/>
        </w:rPr>
      </w:pPr>
      <w:r>
        <w:rPr>
          <w:rFonts w:hint="eastAsia" w:ascii="宋体" w:hAnsi="宋体"/>
          <w:b/>
          <w:color w:val="000000"/>
          <w:sz w:val="30"/>
          <w:szCs w:val="30"/>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宋体"/>
          <w:b/>
          <w:bCs w:val="0"/>
          <w:color w:val="000000"/>
          <w:sz w:val="24"/>
          <w:szCs w:val="24"/>
          <w:lang w:eastAsia="zh-CN"/>
        </w:rPr>
        <w:t xml:space="preserve">所有</w:t>
      </w:r>
      <w:r>
        <w:rPr>
          <w:rFonts w:hint="eastAsia" w:ascii="宋体" w:hAnsi="宋体" w:eastAsia="宋体" w:cs="宋体"/>
          <w:b/>
          <w:bCs w:val="0"/>
          <w:color w:val="000000"/>
          <w:sz w:val="24"/>
          <w:szCs w:val="24"/>
          <w:lang w:val="en-US" w:eastAsia="zh-CN"/>
        </w:rPr>
        <w:t xml:space="preserve">产品</w:t>
      </w:r>
      <w:r>
        <w:rPr>
          <w:rFonts w:hint="eastAsia" w:ascii="宋体" w:hAnsi="宋体" w:eastAsia="宋体" w:cs="宋体"/>
          <w:b/>
          <w:bCs w:val="0"/>
          <w:color w:val="000000"/>
          <w:sz w:val="24"/>
          <w:szCs w:val="24"/>
        </w:rPr>
        <w:t xml:space="preserve">均应出自投标人或制造商，不得私自添加或更改，保证</w:t>
      </w:r>
      <w:r>
        <w:rPr>
          <w:rFonts w:hint="eastAsia" w:ascii="宋体" w:hAnsi="宋体" w:eastAsia="宋体" w:cs="宋体"/>
          <w:b/>
          <w:bCs w:val="0"/>
          <w:color w:val="000000"/>
          <w:sz w:val="24"/>
          <w:szCs w:val="24"/>
          <w:lang w:eastAsia="zh-CN"/>
        </w:rPr>
        <w:t xml:space="preserve">所有仪器</w:t>
      </w:r>
      <w:r>
        <w:rPr>
          <w:rFonts w:hint="eastAsia" w:ascii="宋体" w:hAnsi="宋体" w:eastAsia="宋体" w:cs="宋体"/>
          <w:b/>
          <w:bCs w:val="0"/>
          <w:color w:val="000000"/>
          <w:sz w:val="24"/>
          <w:szCs w:val="24"/>
        </w:rPr>
        <w:t xml:space="preserve">及部件均是全新的纯正部品，不得以废、旧材料制作，产品必须符合</w:t>
      </w:r>
      <w:r>
        <w:rPr>
          <w:rFonts w:hint="eastAsia" w:ascii="宋体" w:hAnsi="宋体" w:eastAsia="宋体" w:cs="宋体"/>
          <w:b/>
          <w:bCs w:val="0"/>
          <w:color w:val="000000"/>
          <w:sz w:val="24"/>
          <w:szCs w:val="24"/>
          <w:lang w:eastAsia="zh-CN"/>
        </w:rPr>
        <w:t xml:space="preserve">仪器</w:t>
      </w:r>
      <w:r>
        <w:rPr>
          <w:rFonts w:hint="eastAsia" w:ascii="宋体" w:hAnsi="宋体" w:eastAsia="宋体" w:cs="宋体"/>
          <w:b/>
          <w:bCs w:val="0"/>
          <w:color w:val="000000"/>
          <w:sz w:val="24"/>
          <w:szCs w:val="24"/>
        </w:rPr>
        <w:t xml:space="preserve">行业设计要求。交货时</w:t>
      </w:r>
      <w:r>
        <w:rPr>
          <w:rFonts w:hint="eastAsia" w:ascii="宋体" w:hAnsi="宋体" w:eastAsia="宋体" w:cs="宋体"/>
          <w:b/>
          <w:bCs w:val="0"/>
          <w:color w:val="000000"/>
          <w:sz w:val="24"/>
          <w:szCs w:val="24"/>
          <w:lang w:eastAsia="zh-CN"/>
        </w:rPr>
        <w:t xml:space="preserve">所有仪器</w:t>
      </w:r>
      <w:r>
        <w:rPr>
          <w:rFonts w:hint="eastAsia" w:ascii="宋体" w:hAnsi="宋体" w:eastAsia="宋体" w:cs="宋体"/>
          <w:b/>
          <w:bCs w:val="0"/>
          <w:color w:val="000000"/>
          <w:sz w:val="24"/>
          <w:szCs w:val="24"/>
        </w:rPr>
        <w:t xml:space="preserve">应货物完好，物品配件齐全，否则视为不合格产品，采购方有权拒绝接收</w:t>
      </w:r>
      <w:r>
        <w:rPr>
          <w:rFonts w:hint="eastAsia" w:ascii="宋体" w:hAnsi="宋体" w:eastAsia="宋体" w:cs="宋体"/>
          <w:bCs/>
          <w:color w:val="000000"/>
          <w:sz w:val="24"/>
          <w:szCs w:val="24"/>
        </w:rPr>
        <w:t xml:space="preserve">。</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2.</w:t>
      </w:r>
      <w:r>
        <w:rPr>
          <w:rFonts w:hint="eastAsia" w:ascii="宋体" w:hAnsi="宋体" w:eastAsia="宋体" w:cs="宋体"/>
          <w:b/>
          <w:bCs w:val="0"/>
          <w:sz w:val="24"/>
          <w:szCs w:val="24"/>
        </w:rPr>
        <w:t xml:space="preserve">投标单位应按照清单中的规格、材质和工艺来提供，如</w:t>
      </w:r>
      <w:r>
        <w:rPr>
          <w:rFonts w:hint="eastAsia" w:ascii="宋体" w:hAnsi="宋体" w:eastAsia="宋体" w:cs="宋体"/>
          <w:b/>
          <w:bCs w:val="0"/>
          <w:sz w:val="24"/>
          <w:szCs w:val="24"/>
          <w:lang w:eastAsia="zh-CN"/>
        </w:rPr>
        <w:t xml:space="preserve">有疑义</w:t>
      </w:r>
      <w:r>
        <w:rPr>
          <w:rFonts w:hint="eastAsia" w:ascii="宋体" w:hAnsi="宋体" w:eastAsia="宋体" w:cs="宋体"/>
          <w:b/>
          <w:bCs w:val="0"/>
          <w:sz w:val="24"/>
          <w:szCs w:val="24"/>
        </w:rPr>
        <w:t xml:space="preserve">，供货时以采购方要求为准，投标单价不变更。如投标单位提供的</w:t>
      </w:r>
      <w:r>
        <w:rPr>
          <w:rFonts w:hint="eastAsia" w:ascii="宋体" w:hAnsi="宋体" w:eastAsia="宋体" w:cs="宋体"/>
          <w:b/>
          <w:bCs w:val="0"/>
          <w:sz w:val="24"/>
          <w:szCs w:val="24"/>
          <w:lang w:eastAsia="zh-CN"/>
        </w:rPr>
        <w:t xml:space="preserve">仪器</w:t>
      </w:r>
      <w:r>
        <w:rPr>
          <w:rFonts w:hint="eastAsia" w:ascii="宋体" w:hAnsi="宋体" w:eastAsia="宋体" w:cs="宋体"/>
          <w:b/>
          <w:bCs w:val="0"/>
          <w:sz w:val="24"/>
          <w:szCs w:val="24"/>
        </w:rPr>
        <w:t xml:space="preserve">与清单中的规格、材质和工艺不一致，采购方有权退货，造成的一切后果由投标单位负责。货到后由采购单位</w:t>
      </w:r>
      <w:r>
        <w:rPr>
          <w:rFonts w:hint="eastAsia" w:ascii="宋体" w:hAnsi="宋体" w:cs="宋体"/>
          <w:b/>
          <w:bCs w:val="0"/>
          <w:sz w:val="24"/>
          <w:szCs w:val="24"/>
          <w:lang w:val="en-US" w:eastAsia="zh-CN"/>
        </w:rPr>
        <w:t xml:space="preserve">和监理单位</w:t>
      </w:r>
      <w:r>
        <w:rPr>
          <w:rFonts w:hint="eastAsia" w:ascii="宋体" w:hAnsi="宋体" w:eastAsia="宋体" w:cs="宋体"/>
          <w:b/>
          <w:bCs w:val="0"/>
          <w:sz w:val="24"/>
          <w:szCs w:val="24"/>
        </w:rPr>
        <w:t xml:space="preserve">来确认货品的材质与质量</w:t>
      </w:r>
      <w:r>
        <w:rPr>
          <w:rFonts w:hint="eastAsia" w:ascii="宋体" w:hAnsi="宋体" w:eastAsia="宋体" w:cs="宋体"/>
          <w:b/>
          <w:bCs w:val="0"/>
          <w:sz w:val="24"/>
          <w:szCs w:val="24"/>
          <w:lang w:eastAsia="zh-CN"/>
        </w:rPr>
        <w:t xml:space="preserve">。</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3.</w:t>
      </w:r>
      <w:r>
        <w:rPr>
          <w:rFonts w:hint="eastAsia" w:ascii="宋体" w:hAnsi="宋体" w:eastAsia="宋体" w:cs="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hint="eastAsia" w:ascii="宋体" w:hAnsi="宋体" w:eastAsia="宋体" w:cs="宋体"/>
          <w:bCs/>
          <w:color w:val="000000"/>
          <w:sz w:val="24"/>
          <w:szCs w:val="24"/>
          <w:lang w:eastAsia="zh-CN"/>
        </w:rPr>
        <w:t xml:space="preserve">。</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4.</w:t>
      </w:r>
      <w:r>
        <w:rPr>
          <w:rFonts w:hint="eastAsia" w:ascii="宋体" w:hAnsi="宋体" w:eastAsia="宋体" w:cs="宋体"/>
          <w:bCs/>
          <w:color w:val="000000"/>
          <w:sz w:val="24"/>
          <w:szCs w:val="24"/>
        </w:rPr>
        <w:t xml:space="preserve">通过中国海关报关验放进入中国境内且产自中国境外的产品不在本项目的报价范围。</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5.</w:t>
      </w:r>
      <w:r>
        <w:rPr>
          <w:rFonts w:hint="eastAsia" w:ascii="宋体" w:hAnsi="宋体" w:eastAsia="宋体" w:cs="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6.</w:t>
      </w:r>
      <w:r>
        <w:rPr>
          <w:rFonts w:hint="eastAsia" w:ascii="宋体" w:hAnsi="宋体" w:eastAsia="宋体" w:cs="宋体"/>
          <w:bCs/>
          <w:color w:val="000000"/>
          <w:sz w:val="24"/>
          <w:szCs w:val="24"/>
        </w:rPr>
        <w:t xml:space="preserve">投标人必须在满足招标文件要求的基础上进行报价，如有技术偏离请于投标偏离表中说明。</w:t>
      </w:r>
      <w:r/>
    </w:p>
    <w:p>
      <w:pPr>
        <w:numPr>
          <w:ilvl w:val="1"/>
          <w:numId w:val="0"/>
        </w:numPr>
        <w:ind w:left="0" w:firstLine="48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bCs w:val="0"/>
          <w:color w:val="000000"/>
          <w:sz w:val="24"/>
          <w:szCs w:val="24"/>
        </w:rPr>
      </w:pPr>
      <w:r>
        <w:rPr>
          <w:rFonts w:hint="eastAsia" w:ascii="宋体" w:hAnsi="宋体" w:eastAsia="宋体" w:cs="Times New Roman"/>
          <w:b/>
          <w:bCs w:val="0"/>
          <w:color w:val="000000"/>
          <w:sz w:val="24"/>
          <w:szCs w:val="24"/>
          <w:lang w:val="en-US" w:eastAsia="zh-CN" w:bidi="ar-SA"/>
        </w:rPr>
        <w:t xml:space="preserve">7.</w:t>
      </w:r>
      <w:r>
        <w:rPr>
          <w:rFonts w:hint="eastAsia" w:ascii="宋体" w:hAnsi="宋体" w:eastAsia="宋体" w:cs="宋体"/>
          <w:b/>
          <w:bCs w:val="0"/>
          <w:sz w:val="24"/>
          <w:szCs w:val="24"/>
        </w:rPr>
        <w:t xml:space="preserve">交货期：合同签订生效后45日历天内完成所有设备及产品的送货、安装及调试，并具备验收条件。</w:t>
      </w:r>
      <w:r/>
    </w:p>
    <w:p>
      <w:pPr>
        <w:numPr>
          <w:ilvl w:val="1"/>
          <w:numId w:val="0"/>
        </w:numPr>
        <w:ind w:left="0" w:firstLine="48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bCs w:val="0"/>
          <w:color w:val="000000"/>
          <w:sz w:val="24"/>
          <w:szCs w:val="24"/>
        </w:rPr>
      </w:pPr>
      <w:r>
        <w:rPr>
          <w:rFonts w:hint="eastAsia" w:ascii="宋体" w:hAnsi="宋体" w:eastAsia="宋体" w:cs="Times New Roman"/>
          <w:b/>
          <w:bCs w:val="0"/>
          <w:color w:val="000000"/>
          <w:sz w:val="24"/>
          <w:szCs w:val="24"/>
          <w:lang w:val="en-US" w:eastAsia="zh-CN" w:bidi="ar-SA"/>
        </w:rPr>
        <w:t xml:space="preserve">8.</w:t>
      </w:r>
      <w:r>
        <w:rPr>
          <w:rFonts w:hint="eastAsia" w:ascii="宋体" w:hAnsi="宋体" w:eastAsia="宋体" w:cs="宋体"/>
          <w:b/>
          <w:bCs w:val="0"/>
          <w:sz w:val="24"/>
          <w:szCs w:val="24"/>
        </w:rPr>
        <w:t xml:space="preserve">项目整体质保期：纯软件3年，纯硬件5年，软硬件结合产品以硬件质保期为准。售后服务响应时间：在质保期内，一旦发生质量问题，投标人保证在接到通知12小时内响应，24小时内派员赶到现场进行修理、更换或处理，费用由投标人负责。如投标人在接到通知后12小时内未答复，则视为承认质量问题并承担由此发生的一切费用。质保期间因产品本身质量原因造成的直接经济损失，全部由投标人负责。</w:t>
      </w:r>
      <w:r/>
    </w:p>
    <w:p>
      <w:pPr>
        <w:numPr>
          <w:ilvl w:val="1"/>
          <w:numId w:val="0"/>
        </w:numPr>
        <w:ind w:lef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9.</w:t>
      </w:r>
      <w:r>
        <w:rPr>
          <w:rFonts w:hint="eastAsia" w:ascii="宋体" w:hAnsi="宋体" w:eastAsia="宋体" w:cs="宋体"/>
          <w:b/>
          <w:bCs w:val="0"/>
          <w:color w:val="000000"/>
          <w:sz w:val="24"/>
          <w:szCs w:val="24"/>
        </w:rPr>
        <w:t xml:space="preserve">付款方式：合同签订后15个工作日内支付合同总价30%的预付款，所有货物、设备到场安装调试完毕并验收合格后，本年内支付至合同总价的55%，余款第二年付清。</w:t>
      </w:r>
      <w:r/>
    </w:p>
    <w:p>
      <w:pPr>
        <w:numPr>
          <w:ilvl w:val="1"/>
          <w:numId w:val="0"/>
        </w:numPr>
        <w:ind w:lef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10.</w:t>
      </w:r>
      <w:r>
        <w:rPr>
          <w:rFonts w:hint="eastAsia" w:ascii="宋体" w:hAnsi="宋体" w:eastAsia="宋体" w:cs="宋体"/>
          <w:bCs/>
          <w:color w:val="000000"/>
          <w:sz w:val="24"/>
          <w:szCs w:val="24"/>
        </w:rPr>
        <w:t xml:space="preserve">本项目合同履行地点：</w:t>
      </w:r>
      <w:r>
        <w:rPr>
          <w:rFonts w:hint="eastAsia" w:ascii="宋体" w:hAnsi="宋体" w:eastAsia="宋体" w:cs="宋体"/>
          <w:color w:val="000000"/>
          <w:sz w:val="24"/>
          <w:szCs w:val="24"/>
        </w:rPr>
        <w:t xml:space="preserve">采购人指定地点。中标人必须按采购人要求将货物送到指定地点（含分布多点），并分区域完成安装调试。</w:t>
      </w:r>
      <w:r/>
    </w:p>
    <w:p>
      <w:pPr>
        <w:numPr>
          <w:ilvl w:val="1"/>
          <w:numId w:val="0"/>
        </w:numPr>
        <w:ind w:lef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sz w:val="24"/>
          <w:szCs w:val="24"/>
        </w:rPr>
      </w:pPr>
      <w:r>
        <w:rPr>
          <w:rFonts w:hint="eastAsia" w:ascii="宋体" w:hAnsi="宋体" w:eastAsia="宋体" w:cs="Times New Roman"/>
          <w:bCs/>
          <w:color w:val="000000"/>
          <w:sz w:val="24"/>
          <w:szCs w:val="24"/>
          <w:lang w:val="en-US" w:eastAsia="zh-CN" w:bidi="ar-SA"/>
        </w:rPr>
        <w:t xml:space="preserve">11.</w:t>
      </w:r>
      <w:r>
        <w:rPr>
          <w:rFonts w:hint="eastAsia" w:ascii="宋体" w:hAnsi="宋体" w:eastAsia="宋体" w:cs="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eastAsia="宋体" w:cs="宋体"/>
          <w:bCs/>
          <w:sz w:val="24"/>
          <w:szCs w:val="24"/>
        </w:rPr>
        <w:t xml:space="preserve">担。政府向社会公众提供的公共服务项目，验收时应当邀请服务对象参与并出具意见，验收结果应当向社会公告。</w:t>
      </w:r>
      <w:r>
        <w:rPr>
          <w:rFonts w:hint="eastAsia" w:ascii="宋体" w:hAnsi="宋体" w:eastAsia="宋体" w:cs="宋体"/>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sz w:val="24"/>
          <w:szCs w:val="24"/>
          <w:highlight w:val="none"/>
        </w:rPr>
      </w:pPr>
      <w:r>
        <w:rPr>
          <w:rFonts w:hint="eastAsia" w:ascii="宋体" w:hAnsi="宋体" w:eastAsia="宋体" w:cs="Times New Roman"/>
          <w:bCs/>
          <w:color w:val="000000"/>
          <w:sz w:val="24"/>
          <w:szCs w:val="24"/>
          <w:lang w:val="en-US" w:eastAsia="zh-CN" w:bidi="ar-SA"/>
        </w:rPr>
        <w:t xml:space="preserve">12.</w:t>
      </w:r>
      <w:r>
        <w:rPr>
          <w:rFonts w:hint="eastAsia" w:ascii="宋体" w:hAnsi="宋体" w:eastAsia="宋体" w:cs="宋体"/>
          <w:bCs/>
          <w:color w:val="000000" w:themeColor="text1"/>
          <w:sz w:val="24"/>
          <w:szCs w:val="24"/>
          <w:highlight w:val="none"/>
        </w:rPr>
        <w:t xml:space="preserve">根据《关于推</w:t>
      </w:r>
      <w:r>
        <w:rPr>
          <w:rFonts w:hint="eastAsia" w:ascii="宋体" w:hAnsi="宋体" w:eastAsia="宋体" w:cs="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sz w:val="24"/>
          <w:szCs w:val="24"/>
        </w:rPr>
      </w:pPr>
      <w:r>
        <w:rPr>
          <w:rFonts w:hint="eastAsia" w:ascii="宋体" w:hAnsi="宋体" w:eastAsia="宋体" w:cs="Times New Roman"/>
          <w:bCs/>
          <w:color w:val="000000"/>
          <w:sz w:val="24"/>
          <w:szCs w:val="24"/>
          <w:lang w:val="en-US" w:eastAsia="zh-CN" w:bidi="ar-SA"/>
        </w:rPr>
        <w:t xml:space="preserve">13.</w:t>
      </w:r>
      <w:r>
        <w:rPr>
          <w:rFonts w:hint="eastAsia" w:ascii="宋体" w:hAnsi="宋体" w:eastAsia="宋体" w:cs="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sz w:val="24"/>
          <w:szCs w:val="24"/>
        </w:rPr>
      </w:pPr>
      <w:r>
        <w:rPr>
          <w:rFonts w:hint="eastAsia" w:ascii="宋体" w:hAnsi="宋体" w:eastAsia="宋体" w:cs="Times New Roman"/>
          <w:bCs/>
          <w:color w:val="000000"/>
          <w:sz w:val="24"/>
          <w:szCs w:val="24"/>
          <w:lang w:val="en-US" w:eastAsia="zh-CN" w:bidi="ar-SA"/>
        </w:rPr>
        <w:t xml:space="preserve">14.</w:t>
      </w:r>
      <w:r>
        <w:rPr>
          <w:rFonts w:hint="eastAsia" w:ascii="宋体" w:hAnsi="宋体" w:eastAsia="宋体" w:cs="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Cs/>
          <w:sz w:val="24"/>
        </w:rPr>
      </w:pPr>
      <w:r>
        <w:rPr>
          <w:rFonts w:hint="eastAsia" w:ascii="宋体" w:hAnsi="宋体" w:eastAsia="宋体" w:cs="Times New Roman"/>
          <w:bCs/>
          <w:color w:val="000000"/>
          <w:sz w:val="24"/>
          <w:szCs w:val="21"/>
          <w:lang w:val="en-US" w:eastAsia="zh-CN" w:bidi="ar-SA"/>
        </w:rPr>
        <w:t xml:space="preserve">15.</w:t>
      </w:r>
      <w:r>
        <w:rPr>
          <w:rFonts w:hint="eastAsia" w:ascii="宋体" w:hAnsi="宋体" w:eastAsia="宋体" w:cs="宋体"/>
          <w:bCs/>
          <w:sz w:val="24"/>
        </w:rPr>
        <w:t xml:space="preserve">开标后，投标人须自行准备设备（包括但不限于笔记本电脑、无线网络）登录</w:t>
      </w:r>
      <w:r>
        <w:rPr>
          <w:rFonts w:hint="eastAsia" w:ascii="宋体" w:hAnsi="宋体" w:eastAsia="宋体" w:cs="宋体"/>
          <w:bCs/>
          <w:sz w:val="24"/>
          <w:szCs w:val="24"/>
        </w:rPr>
        <w:t xml:space="preserve">“苏采云”系统</w:t>
      </w:r>
      <w:r>
        <w:rPr>
          <w:rFonts w:hint="eastAsia" w:ascii="宋体" w:hAnsi="宋体" w:eastAsia="宋体" w:cs="宋体"/>
          <w:bCs/>
          <w:sz w:val="24"/>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hAnsi="宋体"/>
          <w:b/>
          <w:sz w:val="30"/>
          <w:szCs w:val="30"/>
        </w:rPr>
        <w:br w:type="page" w:clear="all"/>
      </w:r>
      <w:r>
        <w:rPr>
          <w:rFonts w:hint="eastAsia" w:ascii="宋体" w:hAnsi="宋体" w:eastAsia="宋体" w:cs="宋体"/>
          <w:bCs/>
          <w:sz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第三部分  政府采购政策（包括但不限于下列具体政策要求）</w:t>
      </w:r>
      <w:r/>
    </w:p>
    <w:p>
      <w:pPr>
        <w:numPr>
          <w:ilvl w:val="1"/>
          <w:numId w:val="5"/>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5"/>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1"/>
      <w:r/>
      <w:bookmarkStart w:id="192" w:name="OLE_LINK2"/>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360" w:lineRule="auto"/>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72"/>
        <w:ind w:firstLine="602"/>
        <w:spacing w:before="0" w:after="0" w:line="360" w:lineRule="auto"/>
        <w:rPr>
          <w:rFonts w:hint="eastAsia" w:cs="Arial"/>
          <w:b/>
          <w:sz w:val="30"/>
          <w:szCs w:val="30"/>
        </w:rPr>
      </w:pPr>
      <w:r>
        <w:rPr>
          <w:rFonts w:hint="eastAsia" w:cs="Arial"/>
          <w:b/>
          <w:sz w:val="30"/>
          <w:szCs w:val="30"/>
        </w:rPr>
        <w:t xml:space="preserve">第一部分  评标方法</w:t>
      </w:r>
      <w:r/>
    </w:p>
    <w:p>
      <w:pPr>
        <w:pStyle w:val="972"/>
        <w:spacing w:before="0" w:after="0" w:line="360" w:lineRule="auto"/>
        <w:rPr>
          <w:rFonts w:hint="eastAsia" w:cs="Arial"/>
        </w:rPr>
      </w:pPr>
      <w:r>
        <w:rPr>
          <w:rFonts w:hint="eastAsia" w:cs="Arial"/>
        </w:rPr>
        <w:t xml:space="preserve">投标人通过初审的，方可进入比较与评价程序。</w:t>
      </w:r>
      <w:r/>
    </w:p>
    <w:p>
      <w:pPr>
        <w:pStyle w:val="972"/>
        <w:spacing w:before="0" w:after="0" w:line="360" w:lineRule="auto"/>
        <w:rPr>
          <w:rFonts w:hint="eastAsia" w:cs="Arial"/>
        </w:rPr>
      </w:pPr>
      <w:r>
        <w:rPr>
          <w:rFonts w:hint="eastAsia" w:cs="Arial"/>
        </w:rPr>
        <w:t xml:space="preserve">比较与评价采用综合评分法。</w:t>
      </w:r>
      <w:r/>
    </w:p>
    <w:p>
      <w:pPr>
        <w:pStyle w:val="972"/>
        <w:spacing w:before="0" w:after="0" w:line="360" w:lineRule="auto"/>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2"/>
        <w:spacing w:before="0" w:after="0" w:line="360" w:lineRule="auto"/>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2"/>
        <w:spacing w:before="0" w:after="0" w:line="360" w:lineRule="auto"/>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2"/>
        <w:ind w:firstLine="562"/>
        <w:spacing w:before="0" w:after="0" w:line="360" w:lineRule="auto"/>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color w:val="000000" w:themeColor="text1"/>
          <w:highlight w:val="none"/>
        </w:rPr>
      </w:pPr>
      <w:r>
        <w:rPr>
          <w:rFonts w:hint="eastAsia" w:ascii="宋体" w:hAnsi="宋体"/>
          <w:bCs/>
          <w:color w:val="000000" w:themeColor="text1"/>
          <w:sz w:val="24"/>
          <w:szCs w:val="24"/>
          <w:highlight w:val="none"/>
        </w:rPr>
        <w:t xml:space="preserve">1000000×[1-（10%+20%）]=700000元</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pStyle w:val="972"/>
        <w:numPr>
          <w:ilvl w:val="0"/>
          <w:numId w:val="6"/>
        </w:numPr>
        <w:ind w:firstLine="360"/>
        <w:spacing w:before="0" w:after="0" w:line="360" w:lineRule="auto"/>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ind w:firstLine="120"/>
        <w:spacing w:line="360" w:lineRule="auto"/>
        <w:rPr>
          <w:rFonts w:hint="eastAsia" w:ascii="宋体" w:hAnsi="宋体" w:eastAsia="宋体" w:cs="宋体"/>
          <w:sz w:val="24"/>
        </w:rPr>
      </w:pPr>
      <w:r/>
      <w:bookmarkStart w:id="194" w:name="_Hlk165208115"/>
      <w:r>
        <w:rPr>
          <w:rFonts w:hint="eastAsia" w:ascii="宋体" w:hAnsi="宋体" w:eastAsia="宋体" w:cs="宋体"/>
          <w:sz w:val="24"/>
        </w:rPr>
        <w:t xml:space="preserve">（一）评分项目及总分（总分100分）</w:t>
      </w:r>
      <w:r/>
    </w:p>
    <w:p>
      <w:pPr>
        <w:ind w:firstLine="718"/>
        <w:spacing w:line="360" w:lineRule="auto"/>
        <w:rPr>
          <w:rFonts w:hint="eastAsia" w:ascii="宋体" w:hAnsi="宋体" w:eastAsia="宋体" w:cs="宋体"/>
          <w:b/>
          <w:sz w:val="24"/>
        </w:rPr>
      </w:pPr>
      <w:r/>
      <w:bookmarkStart w:id="195" w:name="_Hlk165208094"/>
      <w:r>
        <w:rPr>
          <w:rFonts w:hint="eastAsia" w:ascii="宋体" w:hAnsi="宋体" w:eastAsia="宋体" w:cs="宋体"/>
          <w:b/>
          <w:sz w:val="24"/>
        </w:rPr>
        <w:t xml:space="preserve">1、报价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30</w:t>
      </w:r>
      <w:r>
        <w:rPr>
          <w:rFonts w:hint="eastAsia" w:ascii="宋体" w:hAnsi="宋体" w:eastAsia="宋体" w:cs="宋体"/>
          <w:b/>
          <w:sz w:val="24"/>
        </w:rPr>
        <w:t xml:space="preserve">分</w:t>
      </w:r>
      <w:r/>
    </w:p>
    <w:p>
      <w:pPr>
        <w:ind w:firstLine="723"/>
        <w:spacing w:line="360" w:lineRule="auto"/>
        <w:rPr>
          <w:rFonts w:hint="eastAsia" w:ascii="宋体" w:hAnsi="宋体" w:eastAsia="宋体" w:cs="宋体"/>
          <w:b/>
          <w:sz w:val="24"/>
        </w:rPr>
        <w:outlineLvl w:val="0"/>
      </w:pPr>
      <w:r>
        <w:rPr>
          <w:rFonts w:hint="eastAsia" w:ascii="宋体" w:hAnsi="宋体" w:eastAsia="宋体" w:cs="宋体"/>
          <w:b/>
          <w:sz w:val="24"/>
        </w:rPr>
        <w:t xml:space="preserve">2、</w:t>
      </w:r>
      <w:r>
        <w:rPr>
          <w:rFonts w:hint="eastAsia" w:ascii="宋体" w:hAnsi="宋体" w:eastAsia="宋体" w:cs="宋体"/>
          <w:b/>
          <w:sz w:val="24"/>
          <w:lang w:val="en-US" w:eastAsia="zh-CN"/>
        </w:rPr>
        <w:t xml:space="preserve">商务部分</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28</w:t>
      </w:r>
      <w:r>
        <w:rPr>
          <w:rFonts w:hint="eastAsia" w:ascii="宋体" w:hAnsi="宋体" w:eastAsia="宋体" w:cs="宋体"/>
          <w:b/>
          <w:sz w:val="24"/>
        </w:rPr>
        <w:t xml:space="preserve">分</w:t>
      </w:r>
      <w:r/>
    </w:p>
    <w:p>
      <w:pPr>
        <w:ind w:firstLine="718"/>
        <w:spacing w:line="360" w:lineRule="auto"/>
        <w:rPr>
          <w:rFonts w:hint="eastAsia" w:ascii="宋体" w:hAnsi="宋体" w:eastAsia="宋体" w:cs="宋体"/>
          <w:b/>
          <w:bCs/>
          <w:sz w:val="24"/>
        </w:rPr>
      </w:pPr>
      <w:r>
        <w:rPr>
          <w:rFonts w:hint="eastAsia" w:ascii="宋体" w:hAnsi="宋体" w:eastAsia="宋体" w:cs="宋体"/>
          <w:b/>
          <w:sz w:val="24"/>
        </w:rPr>
        <w:t xml:space="preserve">3、</w:t>
      </w:r>
      <w:r>
        <w:rPr>
          <w:rFonts w:hint="eastAsia" w:ascii="宋体" w:hAnsi="宋体" w:eastAsia="宋体" w:cs="宋体"/>
          <w:b/>
          <w:sz w:val="24"/>
          <w:lang w:val="en-US" w:eastAsia="zh-CN"/>
        </w:rPr>
        <w:t xml:space="preserve">技术部分</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 40</w:t>
      </w:r>
      <w:r>
        <w:rPr>
          <w:rFonts w:hint="eastAsia" w:ascii="宋体" w:hAnsi="宋体" w:eastAsia="宋体" w:cs="宋体"/>
          <w:b/>
          <w:bCs/>
          <w:sz w:val="24"/>
        </w:rPr>
        <w:t xml:space="preserve">分</w:t>
      </w:r>
      <w:r/>
    </w:p>
    <w:p>
      <w:pPr>
        <w:ind w:firstLine="718"/>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w:t>
      </w:r>
      <w:r>
        <w:rPr>
          <w:rFonts w:hint="eastAsia" w:ascii="宋体" w:hAnsi="宋体" w:eastAsia="宋体" w:cs="宋体"/>
          <w:b/>
          <w:bCs w:val="0"/>
          <w:color w:val="000000"/>
          <w:sz w:val="24"/>
          <w:szCs w:val="22"/>
          <w:highlight w:val="none"/>
          <w:lang w:val="en-US" w:eastAsia="zh-CN" w:bidi="ar-SA"/>
        </w:rPr>
        <w:t xml:space="preserve">政策性因素</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2分</w:t>
      </w:r>
      <w:bookmarkEnd w:id="195"/>
      <w:r/>
      <w:r/>
    </w:p>
    <w:p>
      <w:pPr>
        <w:ind w:firstLine="240"/>
        <w:spacing w:line="360" w:lineRule="auto"/>
        <w:rPr>
          <w:rFonts w:hint="eastAsia" w:ascii="宋体" w:hAnsi="宋体"/>
          <w:b/>
          <w:sz w:val="28"/>
          <w:szCs w:val="28"/>
        </w:rPr>
      </w:pPr>
      <w:r>
        <w:rPr>
          <w:rFonts w:hint="eastAsia" w:cs="宋体" w:asciiTheme="minorEastAsia" w:hAnsiTheme="minorEastAsia"/>
          <w:sz w:val="24"/>
        </w:rPr>
        <w:t xml:space="preserve">（二）各项目评分标准</w:t>
      </w:r>
      <w:bookmarkEnd w:id="194"/>
      <w:r/>
      <w:r/>
    </w:p>
    <w:p>
      <w:pPr>
        <w:numPr>
          <w:ilvl w:val="4"/>
          <w:numId w:val="7"/>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7"/>
        </w:numPr>
        <w:ind w:left="0" w:firstLine="482"/>
        <w:spacing w:line="360" w:lineRule="auto"/>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lang w:val="en-US" w:eastAsia="zh-CN"/>
        </w:rPr>
        <w:t xml:space="preserve">商务部分（28分）</w:t>
      </w:r>
      <w:r/>
    </w:p>
    <w:p>
      <w:pPr>
        <w:pStyle w:val="745"/>
        <w:numPr>
          <w:ilvl w:val="0"/>
          <w:numId w:val="0"/>
        </w:numPr>
        <w:ind w:firstLine="482"/>
        <w:spacing w:line="360" w:lineRule="auto"/>
        <w:tabs>
          <w:tab w:val="left" w:pos="510" w:leader="none"/>
          <w:tab w:val="left" w:pos="945" w:leader="none"/>
          <w:tab w:val="left" w:pos="987" w:leader="none"/>
          <w:tab w:val="left" w:pos="1128" w:leader="none"/>
          <w:tab w:val="left" w:pos="1155"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2.1类似业绩（6分）：</w:t>
      </w:r>
      <w:r/>
    </w:p>
    <w:p>
      <w:pPr>
        <w:pStyle w:val="745"/>
        <w:numPr>
          <w:ilvl w:val="0"/>
          <w:numId w:val="0"/>
        </w:numPr>
        <w:ind w:firstLine="480"/>
        <w:spacing w:line="360" w:lineRule="auto"/>
        <w:tabs>
          <w:tab w:val="left" w:pos="510" w:leader="none"/>
          <w:tab w:val="left" w:pos="945" w:leader="none"/>
          <w:tab w:val="left" w:pos="987" w:leader="none"/>
          <w:tab w:val="left" w:pos="1128" w:leader="none"/>
          <w:tab w:val="left" w:pos="1155" w:leader="none"/>
        </w:tabs>
        <w:rPr>
          <w:rFonts w:hint="default" w:ascii="宋体" w:hAnsi="宋体" w:eastAsia="宋体" w:cs="Times New Roman"/>
          <w:bCs/>
          <w:color w:val="000000"/>
          <w:sz w:val="24"/>
          <w:szCs w:val="24"/>
          <w:lang w:val="en-US" w:eastAsia="zh-CN" w:bidi="ar-SA"/>
        </w:rPr>
      </w:pPr>
      <w:r>
        <w:rPr>
          <w:rFonts w:hint="eastAsia" w:ascii="宋体" w:hAnsi="宋体" w:cs="Times New Roman"/>
          <w:bCs/>
          <w:color w:val="000000"/>
          <w:sz w:val="24"/>
          <w:szCs w:val="24"/>
          <w:lang w:val="en-US" w:eastAsia="zh-CN" w:bidi="ar-SA"/>
        </w:rPr>
        <w:t xml:space="preserve">投标人或其制造商</w:t>
      </w:r>
      <w:r>
        <w:rPr>
          <w:rFonts w:hint="default" w:ascii="宋体" w:hAnsi="宋体" w:eastAsia="宋体" w:cs="Times New Roman"/>
          <w:bCs/>
          <w:color w:val="000000"/>
          <w:sz w:val="24"/>
          <w:szCs w:val="24"/>
          <w:lang w:val="en-US" w:eastAsia="zh-CN" w:bidi="ar-SA"/>
        </w:rPr>
        <w:t xml:space="preserve">自2023年1月1日（以合同签订时间为准）以来独立承担过类似项目业绩，每提供一个得</w:t>
      </w:r>
      <w:r>
        <w:rPr>
          <w:rFonts w:hint="eastAsia" w:ascii="宋体" w:hAnsi="宋体" w:cs="Times New Roman"/>
          <w:bCs/>
          <w:color w:val="000000"/>
          <w:sz w:val="24"/>
          <w:szCs w:val="24"/>
          <w:lang w:val="en-US" w:eastAsia="zh-CN" w:bidi="ar-SA"/>
        </w:rPr>
        <w:t xml:space="preserve">2</w:t>
      </w:r>
      <w:r>
        <w:rPr>
          <w:rFonts w:hint="default" w:ascii="宋体" w:hAnsi="宋体" w:eastAsia="宋体" w:cs="Times New Roman"/>
          <w:bCs/>
          <w:color w:val="000000"/>
          <w:sz w:val="24"/>
          <w:szCs w:val="24"/>
          <w:lang w:val="en-US" w:eastAsia="zh-CN" w:bidi="ar-SA"/>
        </w:rPr>
        <w:t xml:space="preserve">分，最多得</w:t>
      </w:r>
      <w:r>
        <w:rPr>
          <w:rFonts w:hint="eastAsia" w:ascii="宋体" w:hAnsi="宋体" w:cs="Times New Roman"/>
          <w:bCs/>
          <w:color w:val="000000"/>
          <w:sz w:val="24"/>
          <w:szCs w:val="24"/>
          <w:lang w:val="en-US" w:eastAsia="zh-CN" w:bidi="ar-SA"/>
        </w:rPr>
        <w:t xml:space="preserve">6</w:t>
      </w:r>
      <w:r>
        <w:rPr>
          <w:rFonts w:hint="default" w:ascii="宋体" w:hAnsi="宋体" w:eastAsia="宋体" w:cs="Times New Roman"/>
          <w:bCs/>
          <w:color w:val="000000"/>
          <w:sz w:val="24"/>
          <w:szCs w:val="24"/>
          <w:lang w:val="en-US" w:eastAsia="zh-CN" w:bidi="ar-SA"/>
        </w:rPr>
        <w:t xml:space="preserve">分。（</w:t>
      </w:r>
      <w:r>
        <w:rPr>
          <w:rFonts w:hint="default" w:ascii="宋体" w:hAnsi="宋体" w:eastAsia="宋体" w:cs="Times New Roman"/>
          <w:b/>
          <w:bCs w:val="0"/>
          <w:color w:val="000000"/>
          <w:sz w:val="24"/>
          <w:szCs w:val="24"/>
          <w:lang w:val="en-US" w:eastAsia="zh-CN" w:bidi="ar-SA"/>
        </w:rPr>
        <w:t xml:space="preserve">提供合同扫描件，提供证明资料应能反映上述相关业绩信息，未提供或提供不全的不得分</w:t>
      </w:r>
      <w:r>
        <w:rPr>
          <w:rFonts w:hint="default" w:ascii="宋体" w:hAnsi="宋体" w:eastAsia="宋体" w:cs="Times New Roman"/>
          <w:bCs/>
          <w:color w:val="000000"/>
          <w:sz w:val="24"/>
          <w:szCs w:val="24"/>
          <w:lang w:val="en-US" w:eastAsia="zh-CN" w:bidi="ar-SA"/>
        </w:rPr>
        <w:t xml:space="preserve">）</w:t>
      </w:r>
      <w:r/>
    </w:p>
    <w:p>
      <w:pPr>
        <w:pStyle w:val="745"/>
        <w:numPr>
          <w:ilvl w:val="0"/>
          <w:numId w:val="0"/>
        </w:numPr>
        <w:ind w:firstLine="482"/>
        <w:spacing w:line="360" w:lineRule="auto"/>
        <w:tabs>
          <w:tab w:val="left" w:pos="510" w:leader="none"/>
          <w:tab w:val="left" w:pos="945" w:leader="none"/>
          <w:tab w:val="left" w:pos="987" w:leader="none"/>
          <w:tab w:val="left" w:pos="1128" w:leader="none"/>
          <w:tab w:val="left" w:pos="1155"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2.2项目团队配置（2分）：</w:t>
      </w:r>
      <w:r/>
    </w:p>
    <w:p>
      <w:pPr>
        <w:pStyle w:val="745"/>
        <w:numPr>
          <w:ilvl w:val="0"/>
          <w:numId w:val="0"/>
        </w:numPr>
        <w:ind w:firstLine="480"/>
        <w:spacing w:line="360" w:lineRule="auto"/>
        <w:tabs>
          <w:tab w:val="left" w:pos="510" w:leader="none"/>
          <w:tab w:val="left" w:pos="945" w:leader="none"/>
          <w:tab w:val="left" w:pos="987" w:leader="none"/>
          <w:tab w:val="left" w:pos="1128" w:leader="none"/>
          <w:tab w:val="left" w:pos="1155" w:leader="none"/>
        </w:tabs>
        <w:rPr>
          <w:rFonts w:hint="default" w:ascii="宋体" w:hAnsi="宋体" w:cs="Times New Roman"/>
          <w:bCs/>
          <w:color w:val="000000"/>
          <w:sz w:val="24"/>
          <w:szCs w:val="24"/>
          <w:lang w:val="en-US" w:eastAsia="zh-CN" w:bidi="ar-SA"/>
        </w:rPr>
      </w:pPr>
      <w:r>
        <w:rPr>
          <w:rFonts w:hint="eastAsia" w:ascii="宋体" w:hAnsi="宋体" w:cs="Times New Roman"/>
          <w:bCs/>
          <w:color w:val="000000"/>
          <w:sz w:val="24"/>
          <w:szCs w:val="24"/>
          <w:lang w:val="en-US" w:eastAsia="zh-CN" w:bidi="ar-SA"/>
        </w:rPr>
        <w:t xml:space="preserve">投标人</w:t>
      </w:r>
      <w:r>
        <w:rPr>
          <w:rFonts w:hint="default" w:ascii="宋体" w:hAnsi="宋体" w:cs="Times New Roman"/>
          <w:bCs/>
          <w:color w:val="000000"/>
          <w:sz w:val="24"/>
          <w:szCs w:val="24"/>
          <w:lang w:val="en-US" w:eastAsia="zh-CN" w:bidi="ar-SA"/>
        </w:rPr>
        <w:t xml:space="preserve">对本项目配备的项目团队：</w:t>
      </w:r>
      <w:r/>
    </w:p>
    <w:p>
      <w:pPr>
        <w:pStyle w:val="745"/>
        <w:numPr>
          <w:ilvl w:val="0"/>
          <w:numId w:val="0"/>
        </w:numPr>
        <w:ind w:firstLine="480"/>
        <w:spacing w:line="360" w:lineRule="auto"/>
        <w:tabs>
          <w:tab w:val="left" w:pos="510" w:leader="none"/>
          <w:tab w:val="left" w:pos="945" w:leader="none"/>
          <w:tab w:val="left" w:pos="987" w:leader="none"/>
          <w:tab w:val="left" w:pos="1128" w:leader="none"/>
          <w:tab w:val="left" w:pos="1155" w:leader="none"/>
        </w:tabs>
        <w:rPr>
          <w:rFonts w:hint="default" w:ascii="宋体" w:hAnsi="宋体" w:cs="Times New Roman"/>
          <w:bCs/>
          <w:color w:val="000000"/>
          <w:sz w:val="24"/>
          <w:szCs w:val="24"/>
          <w:lang w:val="en-US" w:eastAsia="zh-CN" w:bidi="ar-SA"/>
        </w:rPr>
      </w:pPr>
      <w:r>
        <w:rPr>
          <w:rFonts w:hint="default" w:ascii="宋体" w:hAnsi="宋体" w:cs="Times New Roman"/>
          <w:bCs/>
          <w:color w:val="000000"/>
          <w:sz w:val="24"/>
          <w:szCs w:val="24"/>
          <w:lang w:val="en-US" w:eastAsia="zh-CN" w:bidi="ar-SA"/>
        </w:rPr>
        <w:t xml:space="preserve">1.每提供1名具备教育学/心理学相关专业本科及以上学历的人员，得</w:t>
      </w:r>
      <w:r>
        <w:rPr>
          <w:rFonts w:hint="eastAsia" w:ascii="宋体" w:hAnsi="宋体" w:cs="Times New Roman"/>
          <w:bCs/>
          <w:color w:val="000000"/>
          <w:sz w:val="24"/>
          <w:szCs w:val="24"/>
          <w:lang w:val="en-US" w:eastAsia="zh-CN" w:bidi="ar-SA"/>
        </w:rPr>
        <w:t xml:space="preserve">1</w:t>
      </w:r>
      <w:r>
        <w:rPr>
          <w:rFonts w:hint="default" w:ascii="宋体" w:hAnsi="宋体" w:cs="Times New Roman"/>
          <w:bCs/>
          <w:color w:val="000000"/>
          <w:sz w:val="24"/>
          <w:szCs w:val="24"/>
          <w:lang w:val="en-US" w:eastAsia="zh-CN" w:bidi="ar-SA"/>
        </w:rPr>
        <w:t xml:space="preserve">分，满分</w:t>
      </w:r>
      <w:r>
        <w:rPr>
          <w:rFonts w:hint="eastAsia" w:ascii="宋体" w:hAnsi="宋体" w:cs="Times New Roman"/>
          <w:bCs/>
          <w:color w:val="000000"/>
          <w:sz w:val="24"/>
          <w:szCs w:val="24"/>
          <w:lang w:val="en-US" w:eastAsia="zh-CN" w:bidi="ar-SA"/>
        </w:rPr>
        <w:t xml:space="preserve">2</w:t>
      </w:r>
      <w:r>
        <w:rPr>
          <w:rFonts w:hint="default" w:ascii="宋体" w:hAnsi="宋体" w:cs="Times New Roman"/>
          <w:bCs/>
          <w:color w:val="000000"/>
          <w:sz w:val="24"/>
          <w:szCs w:val="24"/>
          <w:lang w:val="en-US" w:eastAsia="zh-CN" w:bidi="ar-SA"/>
        </w:rPr>
        <w:t xml:space="preserve">分；</w:t>
      </w:r>
      <w:r/>
    </w:p>
    <w:p>
      <w:pPr>
        <w:pStyle w:val="745"/>
        <w:numPr>
          <w:ilvl w:val="0"/>
          <w:numId w:val="0"/>
        </w:numPr>
        <w:ind w:firstLine="482"/>
        <w:spacing w:line="360" w:lineRule="auto"/>
        <w:tabs>
          <w:tab w:val="left" w:pos="510" w:leader="none"/>
          <w:tab w:val="left" w:pos="945" w:leader="none"/>
          <w:tab w:val="left" w:pos="987" w:leader="none"/>
          <w:tab w:val="left" w:pos="1128" w:leader="none"/>
          <w:tab w:val="left" w:pos="1155" w:leader="none"/>
        </w:tabs>
        <w:rPr>
          <w:rFonts w:hint="default" w:ascii="宋体" w:hAnsi="宋体" w:cs="Times New Roman"/>
          <w:b/>
          <w:bCs w:val="0"/>
          <w:color w:val="000000"/>
          <w:sz w:val="24"/>
          <w:szCs w:val="24"/>
          <w:lang w:val="en-US" w:eastAsia="zh-CN" w:bidi="ar-SA"/>
        </w:rPr>
      </w:pPr>
      <w:r>
        <w:rPr>
          <w:rFonts w:hint="eastAsia" w:ascii="宋体" w:hAnsi="宋体" w:cs="Times New Roman"/>
          <w:b/>
          <w:bCs w:val="0"/>
          <w:color w:val="000000"/>
          <w:sz w:val="24"/>
          <w:szCs w:val="24"/>
          <w:lang w:val="en-US" w:eastAsia="zh-CN" w:bidi="ar-SA"/>
        </w:rPr>
        <w:t xml:space="preserve">（</w:t>
      </w:r>
      <w:r>
        <w:rPr>
          <w:rFonts w:hint="default" w:ascii="宋体" w:hAnsi="宋体" w:cs="Times New Roman"/>
          <w:b/>
          <w:bCs w:val="0"/>
          <w:color w:val="000000"/>
          <w:sz w:val="24"/>
          <w:szCs w:val="24"/>
          <w:lang w:val="en-US" w:eastAsia="zh-CN" w:bidi="ar-SA"/>
        </w:rPr>
        <w:t xml:space="preserve">须提供相关人员证书复印件，同一人员不重复计分，未提供不得分。</w:t>
      </w:r>
      <w:r>
        <w:rPr>
          <w:rFonts w:hint="eastAsia" w:ascii="宋体" w:hAnsi="宋体" w:cs="Times New Roman"/>
          <w:b/>
          <w:bCs w:val="0"/>
          <w:color w:val="000000"/>
          <w:sz w:val="24"/>
          <w:szCs w:val="24"/>
          <w:lang w:val="en-US" w:eastAsia="zh-CN" w:bidi="ar-SA"/>
        </w:rPr>
        <w:t xml:space="preserve">）</w:t>
      </w:r>
      <w:r/>
    </w:p>
    <w:p>
      <w:pPr>
        <w:numPr>
          <w:ilvl w:val="0"/>
          <w:numId w:val="0"/>
        </w:numPr>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highlight w:val="none"/>
        </w:rPr>
      </w:pPr>
      <w:r>
        <w:rPr>
          <w:rFonts w:hint="eastAsia" w:ascii="宋体" w:hAnsi="宋体"/>
          <w:b/>
          <w:bCs/>
          <w:sz w:val="24"/>
          <w:szCs w:val="24"/>
          <w:highlight w:val="none"/>
          <w:lang w:val="en-US" w:eastAsia="zh-CN"/>
        </w:rPr>
        <w:t xml:space="preserve">2.3</w:t>
      </w:r>
      <w:r>
        <w:rPr>
          <w:rFonts w:hint="eastAsia" w:ascii="宋体" w:hAnsi="宋体"/>
          <w:b/>
          <w:bCs/>
          <w:color w:val="000000"/>
          <w:sz w:val="24"/>
          <w:szCs w:val="24"/>
          <w:highlight w:val="none"/>
        </w:rPr>
        <w:t xml:space="preserve">技术指标（</w:t>
      </w:r>
      <w:r>
        <w:rPr>
          <w:rFonts w:hint="eastAsia" w:ascii="宋体" w:hAnsi="宋体"/>
          <w:b/>
          <w:bCs/>
          <w:color w:val="000000"/>
          <w:sz w:val="24"/>
          <w:szCs w:val="24"/>
          <w:highlight w:val="none"/>
          <w:lang w:val="en-US" w:eastAsia="zh-CN"/>
        </w:rPr>
        <w:t xml:space="preserve">20</w:t>
      </w:r>
      <w:r>
        <w:rPr>
          <w:rFonts w:hint="eastAsia" w:ascii="宋体" w:hAnsi="宋体"/>
          <w:b/>
          <w:bCs/>
          <w:color w:val="000000"/>
          <w:sz w:val="24"/>
          <w:szCs w:val="24"/>
          <w:highlight w:val="none"/>
        </w:rPr>
        <w:t xml:space="preserve">分）：</w:t>
      </w:r>
      <w:r/>
    </w:p>
    <w:p>
      <w:pPr>
        <w:ind w:left="0" w:firstLine="480"/>
        <w:keepLines w:val="0"/>
        <w:keepNext w:val="0"/>
        <w:pageBreakBefore w:val="0"/>
        <w:spacing w:line="360" w:lineRule="auto"/>
        <w:widowControl w:val="off"/>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投标人</w:t>
      </w:r>
      <w:r>
        <w:rPr>
          <w:rFonts w:hint="eastAsia" w:ascii="宋体" w:hAnsi="宋体" w:eastAsia="宋体" w:cs="Times New Roman"/>
          <w:bCs/>
          <w:color w:val="000000"/>
          <w:sz w:val="24"/>
          <w:szCs w:val="24"/>
          <w:lang w:val="en-US" w:eastAsia="zh-CN" w:bidi="ar-SA"/>
        </w:rPr>
        <w:t xml:space="preserve">或制造商所投产品每满足一项下述▲标注条款</w:t>
      </w:r>
      <w:r>
        <w:rPr>
          <w:rFonts w:hint="default" w:ascii="宋体" w:hAnsi="宋体" w:eastAsia="宋体" w:cs="Times New Roman"/>
          <w:bCs/>
          <w:color w:val="000000"/>
          <w:sz w:val="24"/>
          <w:szCs w:val="24"/>
          <w:lang w:val="en-US" w:eastAsia="zh-CN" w:bidi="ar-SA"/>
        </w:rPr>
        <w:t xml:space="preserve">，得2分，满分20分；未按要求提供对应证明资料的，该条款不得分。各条款独立评审。具体要求如下：</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val="en-US" w:eastAsia="zh-CN" w:bidi="ar-SA"/>
        </w:rPr>
        <w:t xml:space="preserve">（一）</w:t>
      </w:r>
      <w:r>
        <w:rPr>
          <w:rFonts w:hint="default" w:ascii="宋体" w:hAnsi="宋体" w:eastAsia="宋体" w:cs="Times New Roman"/>
          <w:b/>
          <w:bCs w:val="0"/>
          <w:color w:val="000000"/>
          <w:sz w:val="24"/>
          <w:szCs w:val="24"/>
          <w:lang w:val="en-US" w:eastAsia="zh-CN" w:bidi="ar-SA"/>
        </w:rPr>
        <w:t xml:space="preserve">数智画框（互动版）功能要求</w:t>
      </w:r>
      <w:r>
        <w:rPr>
          <w:rFonts w:hint="eastAsia" w:ascii="宋体" w:hAnsi="宋体" w:eastAsia="宋体" w:cs="Times New Roman"/>
          <w:b/>
          <w:bCs w:val="0"/>
          <w:color w:val="000000"/>
          <w:sz w:val="24"/>
          <w:szCs w:val="24"/>
          <w:lang w:val="en-US" w:eastAsia="zh-CN" w:bidi="ar-SA"/>
        </w:rPr>
        <w:t xml:space="preserve">（2分）</w:t>
      </w:r>
      <w:r/>
    </w:p>
    <w:p>
      <w:pPr>
        <w:numPr>
          <w:ilvl w:val="0"/>
          <w:numId w:val="0"/>
        </w:numPr>
        <w:ind w:left="0" w:firstLine="480"/>
        <w:keepLines w:val="0"/>
        <w:keepNext w:val="0"/>
        <w:pageBreakBefore w:val="0"/>
        <w:spacing w:line="360" w:lineRule="auto"/>
        <w:widowControl w:val="off"/>
        <w:rPr>
          <w:rFonts w:hint="default"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▲软件功能在满足</w:t>
      </w:r>
      <w:r>
        <w:rPr>
          <w:rFonts w:hint="default" w:ascii="宋体" w:hAnsi="宋体" w:eastAsia="宋体" w:cs="Times New Roman"/>
          <w:bCs/>
          <w:color w:val="000000"/>
          <w:sz w:val="24"/>
          <w:szCs w:val="24"/>
          <w:lang w:val="en-US" w:eastAsia="zh-CN" w:bidi="ar-SA"/>
        </w:rPr>
        <w:t xml:space="preserve">内置5个名人智能体</w:t>
      </w:r>
      <w:r>
        <w:rPr>
          <w:rFonts w:hint="eastAsia" w:ascii="宋体" w:hAnsi="宋体" w:eastAsia="宋体" w:cs="Times New Roman"/>
          <w:bCs/>
          <w:color w:val="000000"/>
          <w:sz w:val="24"/>
          <w:szCs w:val="24"/>
          <w:lang w:val="en-US" w:eastAsia="zh-CN" w:bidi="ar-SA"/>
        </w:rPr>
        <w:t xml:space="preserve">的基础上，每增加2个名人智能体加0.5分，满分2分</w:t>
      </w:r>
      <w:r>
        <w:rPr>
          <w:rFonts w:hint="default" w:ascii="宋体" w:hAnsi="宋体" w:eastAsia="宋体" w:cs="Times New Roman"/>
          <w:bCs/>
          <w:color w:val="000000"/>
          <w:sz w:val="24"/>
          <w:szCs w:val="24"/>
          <w:lang w:val="en-US" w:eastAsia="zh-CN" w:bidi="ar-SA"/>
        </w:rPr>
        <w:t xml:space="preserve">。</w:t>
      </w:r>
      <w:r>
        <w:rPr>
          <w:rFonts w:hint="eastAsia" w:ascii="宋体" w:hAnsi="宋体" w:eastAsia="宋体" w:cs="Times New Roman"/>
          <w:bCs/>
          <w:color w:val="000000"/>
          <w:sz w:val="24"/>
          <w:szCs w:val="24"/>
          <w:lang w:val="en-US" w:eastAsia="zh-CN" w:bidi="ar-SA"/>
        </w:rPr>
        <w:t xml:space="preserve">（</w:t>
      </w:r>
      <w:r>
        <w:rPr>
          <w:rFonts w:hint="default" w:ascii="宋体" w:hAnsi="宋体" w:eastAsia="宋体" w:cs="Times New Roman"/>
          <w:bCs/>
          <w:color w:val="000000"/>
          <w:sz w:val="24"/>
          <w:szCs w:val="24"/>
          <w:lang w:val="en-US" w:eastAsia="zh-CN" w:bidi="ar-SA"/>
        </w:rPr>
        <w:t xml:space="preserve">需提供软件真实功能界面截图并加盖供应商公章）</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val="en-US" w:eastAsia="zh-CN" w:bidi="ar-SA"/>
        </w:rPr>
        <w:t xml:space="preserve">（二）</w:t>
      </w:r>
      <w:r>
        <w:rPr>
          <w:rFonts w:hint="default" w:ascii="宋体" w:hAnsi="宋体" w:eastAsia="宋体" w:cs="Times New Roman"/>
          <w:b/>
          <w:bCs w:val="0"/>
          <w:color w:val="000000"/>
          <w:sz w:val="24"/>
          <w:szCs w:val="24"/>
          <w:lang w:val="en-US" w:eastAsia="zh-CN" w:bidi="ar-SA"/>
        </w:rPr>
        <w:t xml:space="preserve">吸顶式智能安全音响功能要求</w:t>
      </w:r>
      <w:r>
        <w:rPr>
          <w:rFonts w:hint="eastAsia" w:ascii="宋体" w:hAnsi="宋体" w:eastAsia="宋体" w:cs="Times New Roman"/>
          <w:b/>
          <w:bCs w:val="0"/>
          <w:color w:val="000000"/>
          <w:sz w:val="24"/>
          <w:szCs w:val="24"/>
          <w:lang w:val="en-US" w:eastAsia="zh-CN" w:bidi="ar-SA"/>
        </w:rPr>
        <w:t xml:space="preserve">（2分）</w:t>
      </w:r>
      <w:r/>
    </w:p>
    <w:p>
      <w:pPr>
        <w:numPr>
          <w:ilvl w:val="0"/>
          <w:numId w:val="0"/>
        </w:numPr>
        <w:ind w:left="0" w:firstLine="480"/>
        <w:keepLines w:val="0"/>
        <w:keepNext w:val="0"/>
        <w:pageBreakBefore w:val="0"/>
        <w:spacing w:line="360" w:lineRule="auto"/>
        <w:widowControl w:val="off"/>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▲无线通讯技术：全无线连接，设备仅需供电，人声拾音和设备多媒体播放和控制均为数字无线传输</w:t>
      </w:r>
      <w:r>
        <w:rPr>
          <w:rFonts w:hint="eastAsia" w:ascii="宋体" w:hAnsi="宋体" w:eastAsia="宋体" w:cs="Times New Roman"/>
          <w:bCs/>
          <w:color w:val="000000"/>
          <w:sz w:val="24"/>
          <w:szCs w:val="24"/>
          <w:lang w:val="en-US" w:eastAsia="zh-CN" w:bidi="ar-SA"/>
        </w:rPr>
        <w:t xml:space="preserve">，</w:t>
      </w:r>
      <w:r>
        <w:rPr>
          <w:rFonts w:hint="default" w:ascii="宋体" w:hAnsi="宋体" w:eastAsia="宋体" w:cs="Times New Roman"/>
          <w:bCs/>
          <w:color w:val="000000"/>
          <w:sz w:val="24"/>
          <w:szCs w:val="24"/>
          <w:lang w:val="en-US" w:eastAsia="zh-CN" w:bidi="ar-SA"/>
        </w:rPr>
        <w:t xml:space="preserve">包括UHF、蓝牙、红外、2.4G、1.2G、NFC技术通讯</w:t>
      </w:r>
      <w:r>
        <w:rPr>
          <w:rFonts w:hint="eastAsia" w:ascii="宋体" w:hAnsi="宋体" w:eastAsia="宋体" w:cs="Times New Roman"/>
          <w:bCs/>
          <w:color w:val="000000"/>
          <w:sz w:val="24"/>
          <w:szCs w:val="24"/>
          <w:lang w:val="en-US" w:eastAsia="zh-CN" w:bidi="ar-SA"/>
        </w:rPr>
        <w:t xml:space="preserve">。（</w:t>
      </w:r>
      <w:r>
        <w:rPr>
          <w:rFonts w:hint="default" w:ascii="宋体" w:hAnsi="宋体" w:eastAsia="宋体" w:cs="Times New Roman"/>
          <w:bCs/>
          <w:color w:val="000000"/>
          <w:sz w:val="24"/>
          <w:szCs w:val="24"/>
          <w:lang w:val="en-US" w:eastAsia="zh-CN" w:bidi="ar-SA"/>
        </w:rPr>
        <w:t xml:space="preserve">需提供第三方检测机构出具的检测报告复印件并加盖</w:t>
      </w:r>
      <w:r>
        <w:rPr>
          <w:rFonts w:hint="eastAsia" w:ascii="宋体" w:hAnsi="宋体" w:eastAsia="宋体" w:cs="Times New Roman"/>
          <w:bCs/>
          <w:color w:val="000000"/>
          <w:sz w:val="24"/>
          <w:szCs w:val="24"/>
          <w:lang w:val="en-US" w:eastAsia="zh-CN" w:bidi="ar-SA"/>
        </w:rPr>
        <w:t xml:space="preserve">供应商</w:t>
      </w:r>
      <w:r>
        <w:rPr>
          <w:rFonts w:hint="default" w:ascii="宋体" w:hAnsi="宋体" w:eastAsia="宋体" w:cs="Times New Roman"/>
          <w:bCs/>
          <w:color w:val="000000"/>
          <w:sz w:val="24"/>
          <w:szCs w:val="24"/>
          <w:lang w:val="en-US" w:eastAsia="zh-CN" w:bidi="ar-SA"/>
        </w:rPr>
        <w:t xml:space="preserve">公章）</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val="0"/>
          <w:color w:val="000000"/>
          <w:sz w:val="24"/>
          <w:szCs w:val="24"/>
          <w:lang w:val="en-US" w:eastAsia="zh-CN" w:bidi="ar-SA"/>
        </w:rPr>
      </w:pPr>
      <w:r>
        <w:rPr>
          <w:rFonts w:hint="default" w:ascii="宋体" w:hAnsi="宋体" w:eastAsia="宋体" w:cs="Times New Roman"/>
          <w:b/>
          <w:bCs w:val="0"/>
          <w:color w:val="000000"/>
          <w:sz w:val="24"/>
          <w:szCs w:val="24"/>
          <w:lang w:val="en-US" w:eastAsia="zh-CN" w:bidi="ar-SA"/>
        </w:rPr>
        <w:t xml:space="preserve">（</w:t>
      </w:r>
      <w:r>
        <w:rPr>
          <w:rFonts w:hint="eastAsia" w:ascii="宋体" w:hAnsi="宋体" w:eastAsia="宋体" w:cs="Times New Roman"/>
          <w:b/>
          <w:bCs w:val="0"/>
          <w:color w:val="000000"/>
          <w:sz w:val="24"/>
          <w:szCs w:val="24"/>
          <w:lang w:val="en-US" w:eastAsia="zh-CN" w:bidi="ar-SA"/>
        </w:rPr>
        <w:t xml:space="preserve">三</w:t>
      </w:r>
      <w:r>
        <w:rPr>
          <w:rFonts w:hint="default" w:ascii="宋体" w:hAnsi="宋体" w:eastAsia="宋体" w:cs="Times New Roman"/>
          <w:b/>
          <w:bCs w:val="0"/>
          <w:color w:val="000000"/>
          <w:sz w:val="24"/>
          <w:szCs w:val="24"/>
          <w:lang w:val="en-US" w:eastAsia="zh-CN" w:bidi="ar-SA"/>
        </w:rPr>
        <w:t xml:space="preserve">）生涯教育AI智能互动终端功能要求（</w:t>
      </w:r>
      <w:r>
        <w:rPr>
          <w:rFonts w:hint="eastAsia" w:ascii="宋体" w:hAnsi="宋体" w:eastAsia="宋体" w:cs="Times New Roman"/>
          <w:b/>
          <w:bCs w:val="0"/>
          <w:color w:val="000000"/>
          <w:sz w:val="24"/>
          <w:szCs w:val="24"/>
          <w:lang w:val="en-US" w:eastAsia="zh-CN" w:bidi="ar-SA"/>
        </w:rPr>
        <w:t xml:space="preserve">2</w:t>
      </w:r>
      <w:r>
        <w:rPr>
          <w:rFonts w:hint="default" w:ascii="宋体" w:hAnsi="宋体" w:eastAsia="宋体" w:cs="Times New Roman"/>
          <w:b/>
          <w:bCs w:val="0"/>
          <w:color w:val="000000"/>
          <w:sz w:val="24"/>
          <w:szCs w:val="24"/>
          <w:lang w:val="en-US" w:eastAsia="zh-CN" w:bidi="ar-SA"/>
        </w:rPr>
        <w:t xml:space="preserve">分）</w:t>
      </w:r>
      <w:r/>
    </w:p>
    <w:p>
      <w:pPr>
        <w:numPr>
          <w:ilvl w:val="0"/>
          <w:numId w:val="0"/>
        </w:numPr>
        <w:ind w:left="0" w:firstLine="480"/>
        <w:keepLines w:val="0"/>
        <w:keepNext w:val="0"/>
        <w:pageBreakBefore w:val="0"/>
        <w:spacing w:line="360" w:lineRule="auto"/>
        <w:widowControl w:val="off"/>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▲海外院校</w:t>
      </w:r>
      <w:r>
        <w:rPr>
          <w:rFonts w:hint="eastAsia" w:ascii="宋体" w:hAnsi="宋体" w:eastAsia="宋体" w:cs="Times New Roman"/>
          <w:bCs/>
          <w:color w:val="000000"/>
          <w:sz w:val="24"/>
          <w:szCs w:val="24"/>
          <w:lang w:val="en-US" w:eastAsia="zh-CN" w:bidi="ar-SA"/>
        </w:rPr>
        <w:t xml:space="preserve">：</w:t>
      </w:r>
      <w:r>
        <w:rPr>
          <w:rFonts w:hint="default" w:ascii="宋体" w:hAnsi="宋体" w:eastAsia="宋体" w:cs="Times New Roman"/>
          <w:bCs/>
          <w:color w:val="000000"/>
          <w:sz w:val="24"/>
          <w:szCs w:val="24"/>
          <w:lang w:val="en-US" w:eastAsia="zh-CN" w:bidi="ar-SA"/>
        </w:rPr>
        <w:t xml:space="preserve">可提供全球范围内至少</w:t>
      </w:r>
      <w:r>
        <w:rPr>
          <w:rFonts w:hint="eastAsia" w:ascii="宋体" w:hAnsi="宋体" w:eastAsia="宋体" w:cs="Times New Roman"/>
          <w:bCs/>
          <w:color w:val="000000"/>
          <w:sz w:val="24"/>
          <w:szCs w:val="24"/>
          <w:lang w:val="en-US" w:eastAsia="zh-CN" w:bidi="ar-SA"/>
        </w:rPr>
        <w:t xml:space="preserve">30</w:t>
      </w:r>
      <w:r>
        <w:rPr>
          <w:rFonts w:hint="default" w:ascii="宋体" w:hAnsi="宋体" w:eastAsia="宋体" w:cs="Times New Roman"/>
          <w:bCs/>
          <w:color w:val="000000"/>
          <w:sz w:val="24"/>
          <w:szCs w:val="24"/>
          <w:lang w:val="en-US" w:eastAsia="zh-CN" w:bidi="ar-SA"/>
        </w:rPr>
        <w:t xml:space="preserve">0所院校的详细介绍、强势专业、录取要求、留学费用</w:t>
      </w:r>
      <w:r>
        <w:rPr>
          <w:rFonts w:hint="eastAsia" w:ascii="宋体" w:hAnsi="宋体" w:eastAsia="宋体" w:cs="Times New Roman"/>
          <w:bCs/>
          <w:color w:val="000000"/>
          <w:sz w:val="24"/>
          <w:szCs w:val="24"/>
          <w:lang w:val="en-US" w:eastAsia="zh-CN" w:bidi="ar-SA"/>
        </w:rPr>
        <w:t xml:space="preserve">、申请攻略</w:t>
      </w:r>
      <w:r>
        <w:rPr>
          <w:rFonts w:hint="default" w:ascii="宋体" w:hAnsi="宋体" w:eastAsia="宋体" w:cs="Times New Roman"/>
          <w:bCs/>
          <w:color w:val="000000"/>
          <w:sz w:val="24"/>
          <w:szCs w:val="24"/>
          <w:lang w:val="en-US" w:eastAsia="zh-CN" w:bidi="ar-SA"/>
        </w:rPr>
        <w:t xml:space="preserve">等信息</w:t>
      </w:r>
      <w:r>
        <w:rPr>
          <w:rFonts w:hint="eastAsia" w:ascii="宋体" w:hAnsi="宋体" w:eastAsia="宋体" w:cs="Times New Roman"/>
          <w:bCs/>
          <w:color w:val="000000"/>
          <w:sz w:val="24"/>
          <w:szCs w:val="24"/>
          <w:lang w:val="en-US" w:eastAsia="zh-CN" w:bidi="ar-SA"/>
        </w:rPr>
        <w:t xml:space="preserve">。</w:t>
      </w:r>
      <w:r>
        <w:rPr>
          <w:rFonts w:hint="default" w:ascii="宋体" w:hAnsi="宋体" w:eastAsia="宋体" w:cs="Times New Roman"/>
          <w:bCs/>
          <w:color w:val="000000"/>
          <w:sz w:val="24"/>
          <w:szCs w:val="24"/>
          <w:lang w:val="en-US" w:eastAsia="zh-CN" w:bidi="ar-SA"/>
        </w:rPr>
        <w:t xml:space="preserve">（需提供软件真实功能界面截图并加盖供应商公章）</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val="en-US" w:eastAsia="zh-CN" w:bidi="ar-SA"/>
        </w:rPr>
        <w:t xml:space="preserve">（四）</w:t>
      </w:r>
      <w:r>
        <w:rPr>
          <w:rFonts w:hint="default" w:ascii="宋体" w:hAnsi="宋体" w:eastAsia="宋体" w:cs="Times New Roman"/>
          <w:b/>
          <w:bCs w:val="0"/>
          <w:color w:val="000000"/>
          <w:sz w:val="24"/>
          <w:szCs w:val="24"/>
          <w:lang w:val="en-US" w:eastAsia="zh-CN" w:bidi="ar-SA"/>
        </w:rPr>
        <w:t xml:space="preserve">VR学职立式体验探索终端功能要求</w:t>
      </w:r>
      <w:r>
        <w:rPr>
          <w:rFonts w:hint="eastAsia" w:ascii="宋体" w:hAnsi="宋体" w:eastAsia="宋体" w:cs="Times New Roman"/>
          <w:b/>
          <w:bCs w:val="0"/>
          <w:color w:val="000000"/>
          <w:sz w:val="24"/>
          <w:szCs w:val="24"/>
          <w:lang w:val="en-US" w:eastAsia="zh-CN" w:bidi="ar-SA"/>
        </w:rPr>
        <w:t xml:space="preserve">（2分）</w:t>
      </w:r>
      <w:r/>
    </w:p>
    <w:p>
      <w:pPr>
        <w:numPr>
          <w:ilvl w:val="0"/>
          <w:numId w:val="0"/>
        </w:numPr>
        <w:ind w:left="0" w:firstLine="480"/>
        <w:keepLines w:val="0"/>
        <w:keepNext w:val="0"/>
        <w:pageBreakBefore w:val="0"/>
        <w:spacing w:line="360" w:lineRule="auto"/>
        <w:widowControl w:val="off"/>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▲VR系统提供不少于</w:t>
      </w:r>
      <w:r>
        <w:rPr>
          <w:rFonts w:hint="eastAsia" w:ascii="宋体" w:hAnsi="宋体" w:eastAsia="宋体" w:cs="Times New Roman"/>
          <w:bCs/>
          <w:color w:val="000000"/>
          <w:sz w:val="24"/>
          <w:szCs w:val="24"/>
          <w:lang w:val="en-US" w:eastAsia="zh-CN" w:bidi="ar-SA"/>
        </w:rPr>
        <w:t xml:space="preserve">200</w:t>
      </w:r>
      <w:r>
        <w:rPr>
          <w:rFonts w:hint="default" w:ascii="宋体" w:hAnsi="宋体" w:eastAsia="宋体" w:cs="Times New Roman"/>
          <w:bCs/>
          <w:color w:val="000000"/>
          <w:sz w:val="24"/>
          <w:szCs w:val="24"/>
          <w:lang w:val="en-US" w:eastAsia="zh-CN" w:bidi="ar-SA"/>
        </w:rPr>
        <w:t xml:space="preserve">节VR体验课程资源</w:t>
      </w:r>
      <w:r>
        <w:rPr>
          <w:rFonts w:hint="eastAsia" w:ascii="宋体" w:hAnsi="宋体" w:eastAsia="宋体" w:cs="Times New Roman"/>
          <w:bCs/>
          <w:color w:val="000000"/>
          <w:sz w:val="24"/>
          <w:szCs w:val="24"/>
          <w:lang w:val="en-US" w:eastAsia="zh-CN" w:bidi="ar-SA"/>
        </w:rPr>
        <w:t xml:space="preserve">。</w:t>
      </w:r>
      <w:r>
        <w:rPr>
          <w:rFonts w:hint="default" w:ascii="宋体" w:hAnsi="宋体" w:eastAsia="宋体" w:cs="Times New Roman"/>
          <w:bCs/>
          <w:color w:val="000000"/>
          <w:sz w:val="24"/>
          <w:szCs w:val="24"/>
          <w:lang w:val="en-US" w:eastAsia="zh-CN" w:bidi="ar-SA"/>
        </w:rPr>
        <w:t xml:space="preserve">（需提供课程清单及软件界面截图并加盖供应商公章）</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（五）</w:t>
      </w:r>
      <w:r>
        <w:rPr>
          <w:rFonts w:hint="default" w:ascii="宋体" w:hAnsi="宋体" w:eastAsia="宋体" w:cs="Times New Roman"/>
          <w:b/>
          <w:bCs w:val="0"/>
          <w:color w:val="000000"/>
          <w:sz w:val="24"/>
          <w:szCs w:val="24"/>
          <w:highlight w:val="none"/>
          <w:lang w:val="en-US" w:eastAsia="zh-CN" w:bidi="ar-SA"/>
        </w:rPr>
        <w:t xml:space="preserve">生涯智能空间</w:t>
      </w:r>
      <w:r>
        <w:rPr>
          <w:rFonts w:hint="eastAsia" w:ascii="宋体" w:hAnsi="宋体" w:eastAsia="宋体" w:cs="Times New Roman"/>
          <w:b/>
          <w:bCs w:val="0"/>
          <w:color w:val="000000"/>
          <w:sz w:val="24"/>
          <w:szCs w:val="24"/>
          <w:highlight w:val="none"/>
          <w:lang w:val="en-US" w:eastAsia="zh-CN" w:bidi="ar-SA"/>
        </w:rPr>
        <w:t xml:space="preserve">功能</w:t>
      </w:r>
      <w:r>
        <w:rPr>
          <w:rFonts w:hint="default" w:ascii="宋体" w:hAnsi="宋体" w:eastAsia="宋体" w:cs="Times New Roman"/>
          <w:b/>
          <w:bCs w:val="0"/>
          <w:color w:val="000000"/>
          <w:sz w:val="24"/>
          <w:szCs w:val="24"/>
          <w:highlight w:val="none"/>
          <w:lang w:val="en-US" w:eastAsia="zh-CN" w:bidi="ar-SA"/>
        </w:rPr>
        <w:t xml:space="preserve">要求</w:t>
      </w:r>
      <w:r>
        <w:rPr>
          <w:rFonts w:hint="eastAsia" w:ascii="宋体" w:hAnsi="宋体" w:eastAsia="宋体" w:cs="Times New Roman"/>
          <w:b/>
          <w:bCs w:val="0"/>
          <w:color w:val="000000"/>
          <w:sz w:val="24"/>
          <w:szCs w:val="24"/>
          <w:highlight w:val="none"/>
          <w:lang w:val="en-US" w:eastAsia="zh-CN" w:bidi="ar-SA"/>
        </w:rPr>
        <w:t xml:space="preserve">（4分）</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default" w:ascii="宋体" w:hAnsi="宋体" w:eastAsia="宋体" w:cs="Times New Roman"/>
          <w:bCs/>
          <w:color w:val="000000"/>
          <w:sz w:val="24"/>
          <w:szCs w:val="24"/>
          <w:highlight w:val="none"/>
          <w:lang w:val="en-US" w:eastAsia="zh-CN" w:bidi="ar-SA"/>
        </w:rPr>
      </w:pPr>
      <w:r>
        <w:rPr>
          <w:rFonts w:hint="default" w:ascii="宋体" w:hAnsi="宋体" w:eastAsia="宋体" w:cs="Times New Roman"/>
          <w:bCs/>
          <w:color w:val="000000"/>
          <w:sz w:val="24"/>
          <w:szCs w:val="24"/>
          <w:highlight w:val="none"/>
          <w:lang w:val="en-US" w:eastAsia="zh-CN" w:bidi="ar-SA"/>
        </w:rPr>
        <w:t xml:space="preserve">▲1.静音舱碳塑墙板阻燃：满足GB 8624-2012《建筑材料及制品的燃烧性能等级分级》要求，燃烧性能等级》B</w:t>
      </w:r>
      <w:r>
        <w:rPr>
          <w:rFonts w:hint="eastAsia" w:ascii="宋体" w:hAnsi="宋体" w:eastAsia="宋体" w:cs="Times New Roman"/>
          <w:bCs/>
          <w:color w:val="000000"/>
          <w:sz w:val="24"/>
          <w:szCs w:val="24"/>
          <w:highlight w:val="none"/>
          <w:lang w:val="en-US" w:eastAsia="zh-CN" w:bidi="ar-SA"/>
        </w:rPr>
        <w:t xml:space="preserve">1</w:t>
      </w:r>
      <w:r>
        <w:rPr>
          <w:rFonts w:hint="default" w:ascii="宋体" w:hAnsi="宋体" w:eastAsia="宋体" w:cs="Times New Roman"/>
          <w:bCs/>
          <w:color w:val="000000"/>
          <w:sz w:val="24"/>
          <w:szCs w:val="24"/>
          <w:highlight w:val="none"/>
          <w:lang w:val="en-US" w:eastAsia="zh-CN" w:bidi="ar-SA"/>
        </w:rPr>
        <w:t xml:space="preserve">级。（需提供加盖CMA计量认证标识的检测报告复印件并加盖供应商公章）</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default" w:ascii="宋体" w:hAnsi="宋体" w:eastAsia="宋体" w:cs="Times New Roman"/>
          <w:bCs/>
          <w:color w:val="000000"/>
          <w:sz w:val="24"/>
          <w:szCs w:val="24"/>
          <w:highlight w:val="none"/>
          <w:lang w:val="en-US" w:eastAsia="zh-CN" w:bidi="ar-SA"/>
        </w:rPr>
      </w:pPr>
      <w:r>
        <w:rPr>
          <w:rFonts w:hint="default" w:ascii="宋体" w:hAnsi="宋体" w:eastAsia="宋体" w:cs="Times New Roman"/>
          <w:bCs/>
          <w:color w:val="000000"/>
          <w:sz w:val="24"/>
          <w:szCs w:val="24"/>
          <w:highlight w:val="none"/>
          <w:lang w:val="en-US" w:eastAsia="zh-CN" w:bidi="ar-SA"/>
        </w:rPr>
        <w:t xml:space="preserve">▲2.航空铝材：满足GB/T10125-2021《人造气氛腐蚀试验标准》、GB/T 6461-2002《金属基体上金属和其他无机覆盖层经腐蚀试验后的试样和试件的评级》测试保护等级测定要求，等级</w:t>
      </w:r>
      <w:r>
        <w:rPr>
          <w:rFonts w:hint="eastAsia" w:ascii="宋体" w:hAnsi="宋体" w:eastAsia="宋体" w:cs="Times New Roman"/>
          <w:bCs/>
          <w:color w:val="000000"/>
          <w:sz w:val="24"/>
          <w:szCs w:val="24"/>
          <w:highlight w:val="none"/>
          <w:lang w:val="en-US" w:eastAsia="zh-CN" w:bidi="ar-SA"/>
        </w:rPr>
        <w:t xml:space="preserve">达到10</w:t>
      </w:r>
      <w:r>
        <w:rPr>
          <w:rFonts w:hint="default" w:ascii="宋体" w:hAnsi="宋体" w:eastAsia="宋体" w:cs="Times New Roman"/>
          <w:bCs/>
          <w:color w:val="000000"/>
          <w:sz w:val="24"/>
          <w:szCs w:val="24"/>
          <w:highlight w:val="none"/>
          <w:lang w:val="en-US" w:eastAsia="zh-CN" w:bidi="ar-SA"/>
        </w:rPr>
        <w:t xml:space="preserve">级。（需提供加盖CMA计量认证标识的检测报告复印件并加盖供应商公章）</w:t>
      </w:r>
      <w:r/>
    </w:p>
    <w:p>
      <w:pPr>
        <w:numPr>
          <w:ilvl w:val="0"/>
          <w:numId w:val="8"/>
        </w:numPr>
        <w:ind w:firstLine="482"/>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lang w:val="en-US" w:eastAsia="zh-CN" w:bidi="ar-SA"/>
        </w:rPr>
      </w:pPr>
      <w:r>
        <w:rPr>
          <w:rFonts w:hint="default" w:ascii="宋体" w:hAnsi="宋体" w:eastAsia="宋体" w:cs="Times New Roman"/>
          <w:b/>
          <w:bCs w:val="0"/>
          <w:color w:val="000000"/>
          <w:sz w:val="24"/>
          <w:szCs w:val="24"/>
          <w:lang w:val="en-US" w:eastAsia="zh-CN" w:bidi="ar-SA"/>
        </w:rPr>
        <w:t xml:space="preserve">学生测评软件功能要求</w:t>
      </w:r>
      <w:r>
        <w:rPr>
          <w:rFonts w:hint="eastAsia" w:ascii="宋体" w:hAnsi="宋体" w:eastAsia="宋体" w:cs="Times New Roman"/>
          <w:b/>
          <w:bCs w:val="0"/>
          <w:color w:val="000000"/>
          <w:sz w:val="24"/>
          <w:szCs w:val="24"/>
          <w:lang w:val="en-US" w:eastAsia="zh-CN" w:bidi="ar-SA"/>
        </w:rPr>
        <w:t xml:space="preserve">（4分）</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 在生涯经典测评列表满足（1）包括兴趣、能力、性格、学习生活适应性及生涯发展水平认知综合测评；（2）包括学习力、批判性思维能力、问题解决能力、创造力和沟通与合作能力综合素养测评的基础上，还支持心理测评（包含自信心评估，自我意识评估，焦虑评估），学科兴趣测评。（需提供软件真实功能界面截图并加盖供应商公章）</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default"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▲2.在满足</w:t>
      </w:r>
      <w:r>
        <w:rPr>
          <w:rFonts w:hint="default" w:ascii="宋体" w:hAnsi="宋体" w:eastAsia="宋体" w:cs="Times New Roman"/>
          <w:bCs/>
          <w:color w:val="000000"/>
          <w:sz w:val="24"/>
          <w:szCs w:val="24"/>
          <w:lang w:val="en-US" w:eastAsia="zh-CN" w:bidi="ar-SA"/>
        </w:rPr>
        <w:t xml:space="preserve">测评管理</w:t>
      </w:r>
      <w:r>
        <w:rPr>
          <w:rFonts w:hint="eastAsia" w:ascii="宋体" w:hAnsi="宋体" w:eastAsia="宋体" w:cs="Times New Roman"/>
          <w:bCs/>
          <w:color w:val="000000"/>
          <w:sz w:val="24"/>
          <w:szCs w:val="24"/>
          <w:lang w:val="en-US" w:eastAsia="zh-CN" w:bidi="ar-SA"/>
        </w:rPr>
        <w:t xml:space="preserve">支持</w:t>
      </w:r>
      <w:r>
        <w:rPr>
          <w:rFonts w:hint="default" w:ascii="宋体" w:hAnsi="宋体" w:eastAsia="宋体" w:cs="Times New Roman"/>
          <w:bCs/>
          <w:color w:val="000000"/>
          <w:sz w:val="24"/>
          <w:szCs w:val="24"/>
          <w:lang w:val="en-US" w:eastAsia="zh-CN" w:bidi="ar-SA"/>
        </w:rPr>
        <w:t xml:space="preserve">可自主添加校本特色问卷，并可一键导出答题数据进行统计分析</w:t>
      </w:r>
      <w:r>
        <w:rPr>
          <w:rFonts w:hint="eastAsia" w:ascii="宋体" w:hAnsi="宋体" w:eastAsia="宋体" w:cs="Times New Roman"/>
          <w:bCs/>
          <w:color w:val="000000"/>
          <w:sz w:val="24"/>
          <w:szCs w:val="24"/>
          <w:lang w:val="en-US" w:eastAsia="zh-CN" w:bidi="ar-SA"/>
        </w:rPr>
        <w:t xml:space="preserve">功能的基础上，支持学生自主探索测评管理：可控制学生能否查看报告，是否开启普测。（需提供软件真实功能界面截图并加盖供应商公章）</w:t>
      </w:r>
      <w:r/>
    </w:p>
    <w:p>
      <w:pPr>
        <w:numPr>
          <w:ilvl w:val="0"/>
          <w:numId w:val="0"/>
        </w:numPr>
        <w:ind w:left="479" w:firstLine="0"/>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default"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val="en-US" w:eastAsia="zh-CN" w:bidi="ar-SA"/>
        </w:rPr>
        <w:t xml:space="preserve">（七）</w:t>
      </w:r>
      <w:r>
        <w:rPr>
          <w:rFonts w:hint="default" w:ascii="宋体" w:hAnsi="宋体" w:eastAsia="宋体" w:cs="Times New Roman"/>
          <w:b/>
          <w:bCs w:val="0"/>
          <w:color w:val="000000"/>
          <w:sz w:val="24"/>
          <w:szCs w:val="24"/>
          <w:lang w:val="en-US" w:eastAsia="zh-CN" w:bidi="ar-SA"/>
        </w:rPr>
        <w:t xml:space="preserve">生涯教育资源互动终端功能要求</w:t>
      </w:r>
      <w:r>
        <w:rPr>
          <w:rFonts w:hint="eastAsia" w:ascii="宋体" w:hAnsi="宋体" w:eastAsia="宋体" w:cs="Times New Roman"/>
          <w:b/>
          <w:bCs w:val="0"/>
          <w:color w:val="000000"/>
          <w:sz w:val="24"/>
          <w:szCs w:val="24"/>
          <w:lang w:val="en-US" w:eastAsia="zh-CN" w:bidi="ar-SA"/>
        </w:rPr>
        <w:t xml:space="preserve">（2分）</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w:t>
      </w:r>
      <w:r>
        <w:rPr>
          <w:rFonts w:hint="eastAsia" w:ascii="宋体" w:hAnsi="宋体" w:eastAsia="宋体" w:cs="Times New Roman"/>
          <w:bCs/>
          <w:color w:val="000000"/>
          <w:sz w:val="24"/>
          <w:szCs w:val="24"/>
          <w:lang w:val="en-US" w:eastAsia="zh-CN" w:bidi="ar-SA"/>
        </w:rPr>
        <w:t xml:space="preserve">在满足</w:t>
      </w:r>
      <w:r>
        <w:rPr>
          <w:rFonts w:hint="default" w:ascii="宋体" w:hAnsi="宋体" w:eastAsia="宋体" w:cs="Times New Roman"/>
          <w:bCs/>
          <w:color w:val="000000"/>
          <w:sz w:val="24"/>
          <w:szCs w:val="24"/>
          <w:lang w:val="en-US" w:eastAsia="zh-CN" w:bidi="ar-SA"/>
        </w:rPr>
        <w:t xml:space="preserve">慕课视频资源</w:t>
      </w:r>
      <w:r>
        <w:rPr>
          <w:rFonts w:hint="eastAsia" w:ascii="宋体" w:hAnsi="宋体" w:eastAsia="宋体" w:cs="Times New Roman"/>
          <w:bCs/>
          <w:color w:val="000000"/>
          <w:sz w:val="24"/>
          <w:szCs w:val="24"/>
          <w:lang w:val="en-US" w:eastAsia="zh-CN" w:bidi="ar-SA"/>
        </w:rPr>
        <w:t xml:space="preserve">包含</w:t>
      </w:r>
      <w:r>
        <w:rPr>
          <w:rFonts w:hint="default" w:ascii="宋体" w:hAnsi="宋体" w:eastAsia="宋体" w:cs="Times New Roman"/>
          <w:bCs/>
          <w:color w:val="000000"/>
          <w:sz w:val="24"/>
          <w:szCs w:val="24"/>
          <w:lang w:val="en-US" w:eastAsia="zh-CN" w:bidi="ar-SA"/>
        </w:rPr>
        <w:t xml:space="preserve">生涯规划、心理调适、素质教育、志愿填报四种标签</w:t>
      </w:r>
      <w:r>
        <w:rPr>
          <w:rFonts w:hint="eastAsia" w:ascii="宋体" w:hAnsi="宋体" w:eastAsia="宋体" w:cs="Times New Roman"/>
          <w:bCs/>
          <w:color w:val="000000"/>
          <w:sz w:val="24"/>
          <w:szCs w:val="24"/>
          <w:lang w:val="en-US" w:eastAsia="zh-CN" w:bidi="ar-SA"/>
        </w:rPr>
        <w:t xml:space="preserve">的基础上</w:t>
      </w:r>
      <w:r>
        <w:rPr>
          <w:rFonts w:hint="default" w:ascii="宋体" w:hAnsi="宋体" w:eastAsia="宋体" w:cs="Times New Roman"/>
          <w:bCs/>
          <w:color w:val="000000"/>
          <w:sz w:val="24"/>
          <w:szCs w:val="24"/>
          <w:lang w:val="en-US" w:eastAsia="zh-CN" w:bidi="ar-SA"/>
        </w:rPr>
        <w:t xml:space="preserve">，</w:t>
      </w:r>
      <w:r>
        <w:rPr>
          <w:rFonts w:hint="eastAsia" w:ascii="宋体" w:hAnsi="宋体" w:eastAsia="宋体" w:cs="Times New Roman"/>
          <w:bCs/>
          <w:color w:val="000000"/>
          <w:sz w:val="24"/>
          <w:szCs w:val="24"/>
          <w:lang w:val="en-US" w:eastAsia="zh-CN" w:bidi="ar-SA"/>
        </w:rPr>
        <w:t xml:space="preserve">每增加一种标签类别加0.5分，满分2分。</w:t>
      </w:r>
      <w:r>
        <w:rPr>
          <w:rFonts w:hint="default" w:ascii="宋体" w:hAnsi="宋体" w:eastAsia="宋体" w:cs="Times New Roman"/>
          <w:bCs/>
          <w:color w:val="000000"/>
          <w:sz w:val="24"/>
          <w:szCs w:val="24"/>
          <w:lang w:val="en-US" w:eastAsia="zh-CN" w:bidi="ar-SA"/>
        </w:rPr>
        <w:t xml:space="preserve">（需提供软件真实功能界面截图并加盖供应商公章）</w:t>
      </w:r>
      <w:r/>
    </w:p>
    <w:p>
      <w:pPr>
        <w:numPr>
          <w:ilvl w:val="0"/>
          <w:numId w:val="0"/>
        </w:numPr>
        <w:ind w:left="0" w:firstLine="482"/>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val="en-US" w:eastAsia="zh-CN" w:bidi="ar-SA"/>
        </w:rPr>
        <w:t xml:space="preserve">（八）AI数智人展示互动终端设备功能要求（2分）</w:t>
      </w:r>
      <w:r/>
    </w:p>
    <w:p>
      <w:pPr>
        <w:numPr>
          <w:ilvl w:val="0"/>
          <w:numId w:val="0"/>
        </w:numPr>
        <w:ind w:left="0" w:firstLine="480"/>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▲软件功能数字人形象</w:t>
      </w:r>
      <w:r>
        <w:rPr>
          <w:rFonts w:hint="eastAsia" w:ascii="宋体" w:hAnsi="宋体" w:eastAsia="宋体" w:cs="Times New Roman"/>
          <w:bCs/>
          <w:color w:val="000000"/>
          <w:sz w:val="24"/>
          <w:szCs w:val="24"/>
          <w:lang w:val="en-US" w:eastAsia="zh-CN" w:bidi="ar-SA"/>
        </w:rPr>
        <w:t xml:space="preserve">在满足提供</w:t>
      </w:r>
      <w:r>
        <w:rPr>
          <w:rFonts w:hint="default" w:ascii="宋体" w:hAnsi="宋体" w:eastAsia="宋体" w:cs="Times New Roman"/>
          <w:bCs/>
          <w:color w:val="000000"/>
          <w:sz w:val="24"/>
          <w:szCs w:val="24"/>
          <w:lang w:val="en-US" w:eastAsia="zh-CN" w:bidi="ar-SA"/>
        </w:rPr>
        <w:t xml:space="preserve">4种</w:t>
      </w:r>
      <w:r>
        <w:rPr>
          <w:rFonts w:hint="eastAsia" w:ascii="宋体" w:hAnsi="宋体" w:eastAsia="宋体" w:cs="Times New Roman"/>
          <w:bCs/>
          <w:color w:val="000000"/>
          <w:sz w:val="24"/>
          <w:szCs w:val="24"/>
          <w:lang w:val="en-US" w:eastAsia="zh-CN" w:bidi="ar-SA"/>
        </w:rPr>
        <w:t xml:space="preserve">的基础上，每增加1种数字人形象加1分，满分2分。（需提供软件真实功能界面截图并加盖供应商公章）</w:t>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3.技术部分（40分）</w:t>
      </w:r>
      <w:r/>
    </w:p>
    <w:p>
      <w:pPr>
        <w:numPr>
          <w:ilvl w:val="0"/>
          <w:numId w:val="0"/>
        </w:numPr>
        <w:ind w:firstLine="482"/>
        <w:spacing w:line="360" w:lineRule="auto"/>
        <w:tabs>
          <w:tab w:val="left" w:pos="846" w:leader="none"/>
          <w:tab w:val="left" w:pos="945" w:leader="none"/>
          <w:tab w:val="left" w:pos="1155" w:leader="none"/>
        </w:tabs>
        <w:rPr>
          <w:rFonts w:hint="eastAsia" w:ascii="宋体" w:hAnsi="宋体" w:eastAsia="宋体" w:cs="宋体"/>
          <w:b/>
          <w:bCs/>
          <w:sz w:val="24"/>
          <w:szCs w:val="24"/>
          <w:lang w:val="zh-CN"/>
        </w:rPr>
      </w:pPr>
      <w:r>
        <w:rPr>
          <w:rFonts w:hint="eastAsia" w:ascii="宋体" w:hAnsi="宋体"/>
          <w:b/>
          <w:bCs/>
          <w:sz w:val="24"/>
          <w:szCs w:val="24"/>
          <w:lang w:val="en-US" w:eastAsia="zh-CN"/>
        </w:rPr>
        <w:t xml:space="preserve">3.1项目实施方案</w:t>
      </w:r>
      <w:r>
        <w:rPr>
          <w:rFonts w:hint="eastAsia" w:ascii="宋体" w:hAnsi="宋体" w:eastAsia="宋体" w:cs="宋体"/>
          <w:b/>
          <w:bCs/>
          <w:sz w:val="24"/>
          <w:szCs w:val="24"/>
          <w:lang w:val="zh-CN"/>
        </w:rPr>
        <w:t xml:space="preserve">（</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分</w:t>
      </w:r>
      <w:r>
        <w:rPr>
          <w:rFonts w:hint="eastAsia" w:ascii="宋体" w:hAnsi="宋体" w:eastAsia="宋体" w:cs="宋体"/>
          <w:b/>
          <w:bCs/>
          <w:sz w:val="24"/>
          <w:szCs w:val="24"/>
          <w:lang w:val="zh-CN"/>
        </w:rPr>
        <w:t xml:space="preserve">）</w:t>
      </w:r>
      <w:r/>
    </w:p>
    <w:p>
      <w:pPr>
        <w:numPr>
          <w:ilvl w:val="0"/>
          <w:numId w:val="0"/>
        </w:numPr>
        <w:ind w:firstLine="482"/>
        <w:spacing w:line="360" w:lineRule="auto"/>
        <w:tabs>
          <w:tab w:val="left" w:pos="846" w:leader="none"/>
          <w:tab w:val="left" w:pos="945" w:leader="none"/>
          <w:tab w:val="left" w:pos="1155"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供应商针对本项目的实际情况提出项目实施方案，包括但不限于以下内容：</w:t>
      </w:r>
      <w:r/>
    </w:p>
    <w:p>
      <w:pPr>
        <w:pStyle w:val="745"/>
        <w:ind w:left="420" w:firstLine="240"/>
        <w:spacing w:line="360" w:lineRule="auto"/>
        <w:tabs>
          <w:tab w:val="left" w:pos="846" w:leader="none"/>
          <w:tab w:val="left" w:pos="945" w:leader="none"/>
          <w:tab w:val="left" w:pos="1155" w:leader="none"/>
        </w:tabs>
        <w:rPr>
          <w:rFonts w:hint="default" w:ascii="宋体" w:hAnsi="宋体" w:eastAsia="宋体" w:cstheme="minorBidi"/>
          <w:b/>
          <w:bCs w:val="0"/>
          <w:color w:val="000000"/>
          <w:sz w:val="24"/>
          <w:szCs w:val="24"/>
          <w:lang w:val="en-US" w:eastAsia="zh-CN"/>
        </w:rPr>
      </w:pPr>
      <w:r>
        <w:rPr>
          <w:rFonts w:hint="eastAsia" w:ascii="宋体" w:hAnsi="宋体" w:eastAsiaTheme="minorEastAsia" w:cstheme="minorBidi"/>
          <w:b/>
          <w:bCs w:val="0"/>
          <w:color w:val="000000"/>
          <w:sz w:val="24"/>
          <w:szCs w:val="24"/>
        </w:rPr>
        <w:t xml:space="preserve">①人员配备与进度计划；②产品质量保证措施；③测试方案</w:t>
      </w:r>
      <w:r>
        <w:rPr>
          <w:rFonts w:hint="eastAsia" w:ascii="宋体" w:hAnsi="宋体" w:eastAsia="宋体" w:cstheme="minorBidi"/>
          <w:b/>
          <w:bCs w:val="0"/>
          <w:color w:val="000000"/>
          <w:sz w:val="24"/>
          <w:szCs w:val="24"/>
          <w:lang w:eastAsia="zh-CN"/>
        </w:rPr>
        <w:t xml:space="preserve">；</w:t>
      </w:r>
      <w:r>
        <w:rPr>
          <w:rFonts w:hint="eastAsia" w:ascii="宋体" w:hAnsi="宋体" w:eastAsia="宋体" w:cstheme="minorBidi"/>
          <w:b/>
          <w:bCs w:val="0"/>
          <w:color w:val="000000"/>
          <w:sz w:val="24"/>
          <w:szCs w:val="24"/>
          <w:lang w:val="en-US" w:eastAsia="zh-CN"/>
        </w:rPr>
        <w:t xml:space="preserve">④运维方案</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方案内容完整、描述详尽、科学合理性强、切合项目实际，能够提供上述全部4项内容的，得10分；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方案较完整、科学合理性较强、设计较清晰详细，能够提供上述3</w:t>
      </w:r>
      <w:r>
        <w:rPr>
          <w:rFonts w:hint="eastAsia" w:ascii="宋体" w:hAnsi="宋体" w:eastAsia="宋体" w:cstheme="minorBidi"/>
          <w:bCs/>
          <w:color w:val="000000"/>
          <w:sz w:val="24"/>
          <w:szCs w:val="24"/>
          <w:lang w:val="en-US" w:eastAsia="zh-CN"/>
        </w:rPr>
        <w:t xml:space="preserve">-4</w:t>
      </w:r>
      <w:r>
        <w:rPr>
          <w:rFonts w:hint="eastAsia" w:ascii="宋体" w:hAnsi="宋体" w:eastAsiaTheme="minorEastAsia" w:cstheme="minorBidi"/>
          <w:bCs/>
          <w:color w:val="000000"/>
          <w:sz w:val="24"/>
          <w:szCs w:val="24"/>
        </w:rPr>
        <w:t xml:space="preserve">项内容的，得7分；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方案完整性一般、科学合理性一般，能够提供上述2</w:t>
      </w:r>
      <w:r>
        <w:rPr>
          <w:rFonts w:hint="eastAsia" w:ascii="宋体" w:hAnsi="宋体" w:eastAsia="宋体" w:cstheme="minorBidi"/>
          <w:bCs/>
          <w:color w:val="000000"/>
          <w:sz w:val="24"/>
          <w:szCs w:val="24"/>
          <w:lang w:val="en-US" w:eastAsia="zh-CN"/>
        </w:rPr>
        <w:t xml:space="preserve">-3</w:t>
      </w:r>
      <w:r>
        <w:rPr>
          <w:rFonts w:hint="eastAsia" w:ascii="宋体" w:hAnsi="宋体" w:eastAsiaTheme="minorEastAsia" w:cstheme="minorBidi"/>
          <w:bCs/>
          <w:color w:val="000000"/>
          <w:sz w:val="24"/>
          <w:szCs w:val="24"/>
        </w:rPr>
        <w:t xml:space="preserve">项内容的，得4分；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方案基本满足要求，能够提供上述1</w:t>
      </w:r>
      <w:r>
        <w:rPr>
          <w:rFonts w:hint="eastAsia" w:ascii="宋体" w:hAnsi="宋体" w:eastAsia="宋体" w:cstheme="minorBidi"/>
          <w:bCs/>
          <w:color w:val="000000"/>
          <w:sz w:val="24"/>
          <w:szCs w:val="24"/>
          <w:lang w:val="en-US" w:eastAsia="zh-CN"/>
        </w:rPr>
        <w:t xml:space="preserve">-2</w:t>
      </w:r>
      <w:r>
        <w:rPr>
          <w:rFonts w:hint="eastAsia" w:ascii="宋体" w:hAnsi="宋体" w:eastAsiaTheme="minorEastAsia" w:cstheme="minorBidi"/>
          <w:bCs/>
          <w:color w:val="000000"/>
          <w:sz w:val="24"/>
          <w:szCs w:val="24"/>
        </w:rPr>
        <w:t xml:space="preserve">项内容的，得2分；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无方案或提供的方案与本项目无关的，不得分。</w:t>
      </w:r>
      <w:r/>
    </w:p>
    <w:p>
      <w:pPr>
        <w:pStyle w:val="745"/>
        <w:numPr>
          <w:ilvl w:val="0"/>
          <w:numId w:val="0"/>
        </w:numPr>
        <w:ind w:firstLine="482"/>
        <w:spacing w:line="360" w:lineRule="auto"/>
        <w:tabs>
          <w:tab w:val="left" w:pos="846" w:leader="none"/>
          <w:tab w:val="left" w:pos="945" w:leader="none"/>
          <w:tab w:val="left" w:pos="1155" w:leader="none"/>
        </w:tabs>
        <w:rPr>
          <w:rFonts w:hint="eastAsia" w:ascii="宋体" w:hAnsi="宋体" w:cs="宋体"/>
          <w:b/>
          <w:bCs w:val="0"/>
          <w:sz w:val="24"/>
          <w:szCs w:val="24"/>
        </w:rPr>
      </w:pPr>
      <w:r>
        <w:rPr>
          <w:rFonts w:hint="eastAsia" w:ascii="宋体" w:hAnsi="宋体" w:eastAsia="宋体" w:cstheme="minorBidi"/>
          <w:b/>
          <w:bCs w:val="0"/>
          <w:color w:val="000000"/>
          <w:sz w:val="24"/>
          <w:szCs w:val="24"/>
          <w:lang w:val="en-US" w:eastAsia="zh-CN"/>
        </w:rPr>
        <w:t xml:space="preserve">3.2安装调试培训方案</w:t>
      </w:r>
      <w:r>
        <w:rPr>
          <w:rFonts w:hint="eastAsia" w:ascii="宋体" w:hAnsi="宋体" w:cs="宋体"/>
          <w:b/>
          <w:bCs w:val="0"/>
          <w:sz w:val="24"/>
          <w:szCs w:val="24"/>
        </w:rPr>
        <w:t xml:space="preserve">（</w:t>
      </w:r>
      <w:r>
        <w:rPr>
          <w:rFonts w:hint="eastAsia" w:ascii="宋体" w:hAnsi="宋体" w:cs="宋体"/>
          <w:b/>
          <w:bCs w:val="0"/>
          <w:sz w:val="24"/>
          <w:szCs w:val="24"/>
          <w:lang w:val="en-US" w:eastAsia="zh-CN"/>
        </w:rPr>
        <w:t xml:space="preserve">10</w:t>
      </w:r>
      <w:r>
        <w:rPr>
          <w:rFonts w:hint="eastAsia" w:ascii="宋体" w:hAnsi="宋体" w:cs="宋体"/>
          <w:b/>
          <w:bCs w:val="0"/>
          <w:sz w:val="24"/>
          <w:szCs w:val="24"/>
        </w:rPr>
        <w:t xml:space="preserve">分）：</w:t>
      </w:r>
      <w:r/>
    </w:p>
    <w:p>
      <w:pPr>
        <w:pStyle w:val="745"/>
        <w:ind w:left="0" w:firstLine="480"/>
        <w:spacing w:line="360" w:lineRule="auto"/>
        <w:tabs>
          <w:tab w:val="left" w:pos="846" w:leader="none"/>
          <w:tab w:val="left" w:pos="945" w:leader="none"/>
          <w:tab w:val="left" w:pos="1155" w:leader="none"/>
        </w:tabs>
        <w:rPr>
          <w:rFonts w:hint="eastAsia" w:ascii="宋体" w:hAnsi="宋体" w:eastAsiaTheme="minorEastAsia" w:cstheme="minorBidi"/>
          <w:b/>
          <w:bCs w:val="0"/>
          <w:color w:val="000000"/>
          <w:sz w:val="24"/>
          <w:szCs w:val="24"/>
        </w:rPr>
      </w:pPr>
      <w:r>
        <w:rPr>
          <w:rFonts w:hint="eastAsia" w:ascii="宋体" w:hAnsi="宋体" w:eastAsiaTheme="minorEastAsia" w:cstheme="minorBidi"/>
          <w:b/>
          <w:bCs w:val="0"/>
          <w:color w:val="000000"/>
          <w:sz w:val="24"/>
          <w:szCs w:val="24"/>
        </w:rPr>
        <w:t xml:space="preserve">供应商针对本项目的实际情况提出安装调试培训方案，包括但不限于以下内容：</w:t>
      </w:r>
      <w:r/>
    </w:p>
    <w:p>
      <w:pPr>
        <w:pStyle w:val="745"/>
        <w:ind w:left="0" w:firstLine="480"/>
        <w:spacing w:line="360" w:lineRule="auto"/>
        <w:tabs>
          <w:tab w:val="left" w:pos="846" w:leader="none"/>
          <w:tab w:val="left" w:pos="945" w:leader="none"/>
          <w:tab w:val="left" w:pos="1155" w:leader="none"/>
        </w:tabs>
        <w:rPr>
          <w:rFonts w:hint="eastAsia" w:ascii="宋体" w:hAnsi="宋体" w:eastAsiaTheme="minorEastAsia" w:cstheme="minorBidi"/>
          <w:b/>
          <w:bCs w:val="0"/>
          <w:color w:val="000000"/>
          <w:sz w:val="24"/>
          <w:szCs w:val="24"/>
        </w:rPr>
      </w:pPr>
      <w:r>
        <w:rPr>
          <w:rFonts w:hint="eastAsia" w:ascii="宋体" w:hAnsi="宋体" w:eastAsiaTheme="minorEastAsia" w:cstheme="minorBidi"/>
          <w:b/>
          <w:bCs w:val="0"/>
          <w:color w:val="000000"/>
          <w:sz w:val="24"/>
          <w:szCs w:val="24"/>
        </w:rPr>
        <w:t xml:space="preserve">①安装方案与技术措施；②设备调试及验收方案；③培训方案；④安全管理保障及措施等。</w:t>
      </w:r>
      <w:r/>
    </w:p>
    <w:p>
      <w:pPr>
        <w:ind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方案内容完整、描述详尽、科学合理性强、切合项目实际，能够提供上述全部4项内容的，得10分；</w:t>
      </w:r>
      <w:r/>
    </w:p>
    <w:p>
      <w:pPr>
        <w:ind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方案较完整、科学合理性较强、设计较清晰详细，能够提供上述3</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项内容的，得7分；</w:t>
      </w:r>
      <w:r/>
    </w:p>
    <w:p>
      <w:pPr>
        <w:ind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方案完整性一般、科学合理性一般，能够提供上述2</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项内容的，得4分；</w:t>
      </w:r>
      <w:r/>
    </w:p>
    <w:p>
      <w:pPr>
        <w:ind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方案基本满足要求，能够提供上述1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项内容的，得2分；</w:t>
      </w:r>
      <w:r/>
    </w:p>
    <w:p>
      <w:pPr>
        <w:ind w:firstLine="480"/>
        <w:keepLines w:val="0"/>
        <w:keepNext w:val="0"/>
        <w:pageBreakBefore w:val="0"/>
        <w:spacing w:line="360" w:lineRule="auto"/>
        <w:widowControl w:val="off"/>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无方案或提供的方案与本项目无关的，不得分。</w:t>
      </w:r>
      <w:r/>
    </w:p>
    <w:p>
      <w:pPr>
        <w:ind w:firstLine="482"/>
        <w:spacing w:line="360" w:lineRule="auto"/>
        <w:tabs>
          <w:tab w:val="left" w:pos="846" w:leader="none"/>
          <w:tab w:val="left" w:pos="945" w:leader="none"/>
          <w:tab w:val="left" w:pos="1155" w:leader="none"/>
        </w:tabs>
        <w:rPr>
          <w:rFonts w:hint="eastAsia" w:ascii="宋体" w:hAnsi="宋体" w:eastAsia="宋体" w:cs="宋体"/>
          <w:b/>
          <w:bCs/>
          <w:sz w:val="24"/>
          <w:szCs w:val="24"/>
          <w:lang w:val="zh-CN"/>
        </w:rPr>
      </w:pPr>
      <w:r>
        <w:rPr>
          <w:rFonts w:hint="eastAsia" w:ascii="宋体" w:hAnsi="宋体" w:eastAsia="宋体" w:cstheme="minorBidi"/>
          <w:b/>
          <w:bCs w:val="0"/>
          <w:color w:val="000000"/>
          <w:sz w:val="24"/>
          <w:szCs w:val="24"/>
          <w:lang w:val="en-US" w:eastAsia="zh-CN"/>
        </w:rPr>
        <w:t xml:space="preserve">3.3应急处理方案</w:t>
      </w:r>
      <w:r>
        <w:rPr>
          <w:rFonts w:hint="eastAsia" w:ascii="宋体" w:hAnsi="宋体" w:eastAsia="宋体" w:cs="宋体"/>
          <w:b/>
          <w:bCs/>
          <w:sz w:val="24"/>
          <w:szCs w:val="24"/>
          <w:lang w:val="zh-CN"/>
        </w:rPr>
        <w:t xml:space="preserve">（</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lang w:val="zh-CN"/>
        </w:rPr>
        <w:t xml:space="preserve">分）：</w:t>
      </w:r>
      <w:r/>
    </w:p>
    <w:p>
      <w:pPr>
        <w:ind w:firstLine="482"/>
        <w:spacing w:line="360" w:lineRule="auto"/>
        <w:tabs>
          <w:tab w:val="left" w:pos="846" w:leader="none"/>
          <w:tab w:val="left" w:pos="945" w:leader="none"/>
          <w:tab w:val="left" w:pos="1155"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供应商针对本项目的实际情况提出应急处理方案，包括但不限于以下内容：</w:t>
      </w:r>
      <w:r/>
    </w:p>
    <w:p>
      <w:pPr>
        <w:pStyle w:val="745"/>
        <w:ind w:left="0" w:firstLine="480"/>
        <w:spacing w:line="360" w:lineRule="auto"/>
        <w:tabs>
          <w:tab w:val="left" w:pos="846" w:leader="none"/>
          <w:tab w:val="left" w:pos="945" w:leader="none"/>
          <w:tab w:val="left" w:pos="1155" w:leader="none"/>
        </w:tabs>
        <w:rPr>
          <w:rFonts w:hint="eastAsia" w:ascii="宋体" w:hAnsi="宋体" w:eastAsiaTheme="minorEastAsia" w:cstheme="minorBidi"/>
          <w:b/>
          <w:bCs w:val="0"/>
          <w:color w:val="000000"/>
          <w:sz w:val="24"/>
          <w:szCs w:val="24"/>
        </w:rPr>
      </w:pPr>
      <w:r>
        <w:rPr>
          <w:rFonts w:hint="eastAsia" w:ascii="宋体" w:hAnsi="宋体" w:eastAsiaTheme="minorEastAsia" w:cstheme="minorBidi"/>
          <w:b/>
          <w:bCs w:val="0"/>
          <w:color w:val="000000"/>
          <w:sz w:val="24"/>
          <w:szCs w:val="24"/>
        </w:rPr>
        <w:t xml:space="preserve">①总则与组织职责；②风险识别与预警；③应急处置流程（突发事件响应、现场处置、补救措施）；④后期处置与改进。</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方案内容完整、描述详尽、科学合理性强、切合项目实际，能够提供上述全部4项内容的，得10分；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方案较完整、科学合理性较强、设计较清晰详细，能够提供上述3</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项内容的，得7分；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方案完整性一般、科学合理性一般，能够提供上述2</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项内容的，得4分；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方案基本满足要求，能够提供上述1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项内容的，得2分；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无方案或提供的方案与本项目无关的，不得分。</w:t>
      </w:r>
      <w:r/>
    </w:p>
    <w:p>
      <w:pPr>
        <w:ind w:firstLine="482"/>
        <w:spacing w:line="360" w:lineRule="auto"/>
        <w:tabs>
          <w:tab w:val="left" w:pos="846" w:leader="none"/>
          <w:tab w:val="left" w:pos="945" w:leader="none"/>
          <w:tab w:val="left" w:pos="1155" w:leader="none"/>
        </w:tabs>
        <w:rPr>
          <w:rFonts w:hint="eastAsia" w:ascii="宋体" w:hAnsi="宋体" w:eastAsia="宋体" w:cs="宋体"/>
          <w:b/>
          <w:bCs/>
          <w:sz w:val="24"/>
          <w:szCs w:val="24"/>
          <w:lang w:val="zh-CN"/>
        </w:rPr>
      </w:pPr>
      <w:r>
        <w:rPr>
          <w:rFonts w:hint="eastAsia" w:ascii="宋体" w:hAnsi="宋体" w:eastAsia="宋体" w:cstheme="minorBidi"/>
          <w:b/>
          <w:bCs w:val="0"/>
          <w:color w:val="000000"/>
          <w:sz w:val="24"/>
          <w:szCs w:val="24"/>
          <w:lang w:val="en-US" w:eastAsia="zh-CN"/>
        </w:rPr>
        <w:t xml:space="preserve">3.4</w:t>
      </w:r>
      <w:r>
        <w:rPr>
          <w:rFonts w:hint="eastAsia" w:ascii="宋体" w:hAnsi="宋体" w:eastAsia="宋体" w:cs="宋体"/>
          <w:b/>
          <w:bCs/>
          <w:sz w:val="24"/>
          <w:szCs w:val="24"/>
          <w:lang w:val="zh-CN"/>
        </w:rPr>
        <w:t xml:space="preserve">售后服务方案（</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lang w:val="zh-CN"/>
        </w:rPr>
        <w:t xml:space="preserve">分）：</w:t>
      </w:r>
      <w:r/>
    </w:p>
    <w:p>
      <w:pPr>
        <w:ind w:firstLine="482"/>
        <w:spacing w:line="360" w:lineRule="auto"/>
        <w:tabs>
          <w:tab w:val="left" w:pos="846" w:leader="none"/>
          <w:tab w:val="left" w:pos="945" w:leader="none"/>
          <w:tab w:val="left" w:pos="1155"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供应商提供针对本项目的售后服务方案，包括但不限于以下评审内容：</w:t>
      </w:r>
      <w:r/>
    </w:p>
    <w:p>
      <w:pPr>
        <w:ind w:firstLine="241"/>
        <w:spacing w:line="360" w:lineRule="auto"/>
        <w:tabs>
          <w:tab w:val="left" w:pos="846" w:leader="none"/>
          <w:tab w:val="left" w:pos="945" w:leader="none"/>
          <w:tab w:val="left" w:pos="1155" w:leader="none"/>
        </w:tabs>
        <w:rPr>
          <w:rFonts w:hint="eastAsia" w:ascii="宋体" w:hAnsi="宋体"/>
          <w:b/>
          <w:bCs w:val="0"/>
          <w:color w:val="000000"/>
          <w:sz w:val="24"/>
          <w:szCs w:val="24"/>
        </w:rPr>
      </w:pPr>
      <w:r>
        <w:rPr>
          <w:rFonts w:hint="eastAsia" w:ascii="宋体" w:hAnsi="宋体"/>
          <w:b/>
          <w:bCs w:val="0"/>
          <w:color w:val="000000"/>
          <w:sz w:val="24"/>
          <w:szCs w:val="24"/>
        </w:rPr>
        <w:t xml:space="preserve">①售后服务体系及流程；②售后服务专员及服务团队配置；③售后服务响应（电话支持、线上操作、到场服务、售后服务响应时间等）；</w:t>
      </w:r>
      <w:r>
        <w:rPr>
          <w:rFonts w:hint="eastAsia" w:ascii="宋体" w:hAnsi="宋体"/>
          <w:b/>
          <w:bCs w:val="0"/>
          <w:color w:val="000000"/>
          <w:sz w:val="24"/>
          <w:szCs w:val="24"/>
          <w:lang w:val="en-US" w:eastAsia="zh-CN"/>
        </w:rPr>
        <w:t xml:space="preserve">④质保期满后（含零配件供应、零配件价格等）售后服务方案⑤定期回访及维护</w:t>
      </w:r>
      <w:r>
        <w:rPr>
          <w:rFonts w:hint="eastAsia" w:ascii="宋体" w:hAnsi="宋体"/>
          <w:b/>
          <w:bCs w:val="0"/>
          <w:color w:val="000000"/>
          <w:sz w:val="24"/>
          <w:szCs w:val="24"/>
        </w:rPr>
        <w:t xml:space="preserve">；</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default" w:ascii="宋体" w:hAnsi="宋体" w:eastAsia="宋体" w:cstheme="minorBidi"/>
          <w:bCs/>
          <w:color w:val="000000"/>
          <w:sz w:val="24"/>
          <w:szCs w:val="24"/>
          <w:lang w:val="en-US" w:eastAsia="zh-CN"/>
        </w:rPr>
      </w:pPr>
      <w:r>
        <w:rPr>
          <w:rFonts w:hint="default" w:ascii="宋体" w:hAnsi="宋体" w:eastAsia="宋体" w:cstheme="minorBidi"/>
          <w:bCs/>
          <w:color w:val="000000"/>
          <w:sz w:val="24"/>
          <w:szCs w:val="24"/>
          <w:lang w:val="en-US" w:eastAsia="zh-CN"/>
        </w:rPr>
        <w:t xml:space="preserve">方案内容完整、描述详尽、科学合理性强、切合项目实际，能够提供上述全部5项内容的，得10分；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default" w:ascii="宋体" w:hAnsi="宋体" w:eastAsia="宋体" w:cstheme="minorBidi"/>
          <w:bCs/>
          <w:color w:val="000000"/>
          <w:sz w:val="24"/>
          <w:szCs w:val="24"/>
          <w:lang w:val="en-US" w:eastAsia="zh-CN"/>
        </w:rPr>
      </w:pPr>
      <w:r>
        <w:rPr>
          <w:rFonts w:hint="default" w:ascii="宋体" w:hAnsi="宋体" w:eastAsia="宋体" w:cstheme="minorBidi"/>
          <w:bCs/>
          <w:color w:val="000000"/>
          <w:sz w:val="24"/>
          <w:szCs w:val="24"/>
          <w:lang w:val="en-US" w:eastAsia="zh-CN"/>
        </w:rPr>
        <w:t xml:space="preserve">方案较完整、科学合理性较强、设计较清晰详细，能够提供上述4项内容的，得7分；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default" w:ascii="宋体" w:hAnsi="宋体" w:eastAsia="宋体" w:cstheme="minorBidi"/>
          <w:bCs/>
          <w:color w:val="000000"/>
          <w:sz w:val="24"/>
          <w:szCs w:val="24"/>
          <w:lang w:val="en-US" w:eastAsia="zh-CN"/>
        </w:rPr>
      </w:pPr>
      <w:r>
        <w:rPr>
          <w:rFonts w:hint="default" w:ascii="宋体" w:hAnsi="宋体" w:eastAsia="宋体" w:cstheme="minorBidi"/>
          <w:bCs/>
          <w:color w:val="000000"/>
          <w:sz w:val="24"/>
          <w:szCs w:val="24"/>
          <w:lang w:val="en-US" w:eastAsia="zh-CN"/>
        </w:rPr>
        <w:t xml:space="preserve">方案完整性一般、科学合理性一般，能够提供上述3项内容的，得4分；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default" w:ascii="宋体" w:hAnsi="宋体" w:eastAsia="宋体" w:cstheme="minorBidi"/>
          <w:bCs/>
          <w:color w:val="000000"/>
          <w:sz w:val="24"/>
          <w:szCs w:val="24"/>
          <w:lang w:val="en-US" w:eastAsia="zh-CN"/>
        </w:rPr>
      </w:pPr>
      <w:r>
        <w:rPr>
          <w:rFonts w:hint="default" w:ascii="宋体" w:hAnsi="宋体" w:eastAsia="宋体" w:cstheme="minorBidi"/>
          <w:bCs/>
          <w:color w:val="000000"/>
          <w:sz w:val="24"/>
          <w:szCs w:val="24"/>
          <w:lang w:val="en-US" w:eastAsia="zh-CN"/>
        </w:rPr>
        <w:t xml:space="preserve">方案基本满足要求，能够提供上述2项内容的，得2分；</w:t>
      </w:r>
      <w:r/>
    </w:p>
    <w:p>
      <w:pPr>
        <w:pStyle w:val="745"/>
        <w:ind w:left="0" w:firstLine="480"/>
        <w:keepLines w:val="0"/>
        <w:keepNext w:val="0"/>
        <w:pageBreakBefore w:val="0"/>
        <w:spacing w:line="360" w:lineRule="auto"/>
        <w:widowControl w:val="off"/>
        <w:tabs>
          <w:tab w:val="left" w:pos="846" w:leader="none"/>
          <w:tab w:val="left" w:pos="945" w:leader="none"/>
          <w:tab w:val="left" w:pos="1155" w:leader="none"/>
        </w:tabs>
        <w:rPr>
          <w:rFonts w:hint="default" w:ascii="宋体" w:hAnsi="宋体" w:eastAsia="宋体" w:cstheme="minorBidi"/>
          <w:bCs/>
          <w:color w:val="000000"/>
          <w:sz w:val="24"/>
          <w:szCs w:val="24"/>
          <w:lang w:val="en-US" w:eastAsia="zh-CN"/>
        </w:rPr>
      </w:pPr>
      <w:r>
        <w:rPr>
          <w:rFonts w:hint="default" w:ascii="宋体" w:hAnsi="宋体" w:eastAsia="宋体" w:cstheme="minorBidi"/>
          <w:bCs/>
          <w:color w:val="000000"/>
          <w:sz w:val="24"/>
          <w:szCs w:val="24"/>
          <w:lang w:val="en-US" w:eastAsia="zh-CN"/>
        </w:rPr>
        <w:t xml:space="preserve">无方案或提供的方案与本项目无关的，不得分。</w:t>
      </w:r>
      <w:r/>
    </w:p>
    <w:p>
      <w:pPr>
        <w:numPr>
          <w:ilvl w:val="0"/>
          <w:numId w:val="0"/>
        </w:numPr>
        <w:ind w:left="0" w:firstLine="422"/>
        <w:jc w:val="both"/>
        <w:spacing w:line="360" w:lineRule="auto"/>
        <w:widowControl w:val="off"/>
        <w:rPr>
          <w:rFonts w:hint="default" w:ascii="华文中宋" w:hAnsi="Times New Roman" w:eastAsia="华文中宋" w:cs="Times New Roman"/>
          <w:bCs/>
          <w:color w:val="000000"/>
          <w:sz w:val="24"/>
          <w:szCs w:val="24"/>
          <w:highlight w:val="none"/>
          <w:lang w:val="en-US" w:eastAsia="zh-CN" w:bidi="ar-SA"/>
        </w:rPr>
      </w:pPr>
      <w:r>
        <w:rPr>
          <w:rFonts w:hint="eastAsia" w:ascii="宋体" w:hAnsi="宋体" w:eastAsia="宋体" w:cs="宋体"/>
          <w:b/>
          <w:bCs w:val="0"/>
          <w:color w:val="000000"/>
          <w:sz w:val="24"/>
          <w:szCs w:val="22"/>
          <w:highlight w:val="none"/>
          <w:lang w:val="en-US" w:eastAsia="zh-CN" w:bidi="ar-SA"/>
        </w:rPr>
        <w:t xml:space="preserve">4.政策性因素（2分）：</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传至投标文件中，否则不得分）</w:t>
      </w:r>
      <w:r/>
    </w:p>
    <w:p>
      <w:pPr>
        <w:jc w:val="center"/>
        <w:spacing w:line="360" w:lineRule="auto"/>
        <w:tabs>
          <w:tab w:val="left" w:pos="1440" w:leader="none"/>
        </w:tabs>
        <w:rPr>
          <w:rFonts w:hint="eastAsia" w:ascii="黑体" w:hAnsi="黑体" w:eastAsia="黑体"/>
          <w:sz w:val="36"/>
          <w:szCs w:val="36"/>
        </w:rPr>
        <w:outlineLvl w:val="0"/>
      </w:pPr>
      <w:r>
        <w:rPr>
          <w:rFonts w:hint="eastAsia" w:ascii="黑体" w:hAnsi="黑体" w:eastAsia="黑体"/>
          <w:sz w:val="36"/>
          <w:szCs w:val="36"/>
        </w:rPr>
        <w:br w:type="page" w:clear="all"/>
      </w: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72"/>
        <w:ind w:firstLine="602"/>
        <w:spacing w:before="0" w:after="0" w:line="360" w:lineRule="auto"/>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p>
    <w:p>
      <w:pPr>
        <w:pStyle w:val="972"/>
        <w:ind w:firstLine="0"/>
        <w:spacing w:before="0" w:after="0" w:line="360" w:lineRule="auto"/>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2"/>
              <w:ind w:firstLine="0"/>
              <w:jc w:val="center"/>
              <w:spacing w:before="0" w:after="0" w:line="36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2"/>
              <w:jc w:val="center"/>
              <w:spacing w:before="0" w:after="0" w:line="36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2"/>
              <w:ind w:firstLine="0"/>
              <w:jc w:val="center"/>
              <w:spacing w:before="0" w:after="0" w:line="36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2"/>
              <w:ind w:firstLine="0"/>
              <w:jc w:val="center"/>
              <w:spacing w:before="0" w:after="0" w:line="36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2"/>
              <w:ind w:firstLine="0"/>
              <w:jc w:val="both"/>
              <w:spacing w:before="0" w:after="0" w:line="36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2"/>
              <w:ind w:firstLine="0"/>
              <w:spacing w:before="0" w:after="0" w:line="36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2"/>
              <w:ind w:firstLine="0"/>
              <w:jc w:val="center"/>
              <w:spacing w:before="0" w:after="0" w:line="36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2"/>
              <w:ind w:firstLine="0"/>
              <w:jc w:val="both"/>
              <w:spacing w:before="0" w:after="0" w:line="36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2"/>
              <w:ind w:firstLine="0"/>
              <w:jc w:val="center"/>
              <w:spacing w:before="0" w:after="0" w:line="36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2"/>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sz w:val="24"/>
                <w:szCs w:val="24"/>
              </w:rPr>
              <w:t xml:space="preserve">。</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2"/>
              <w:ind w:firstLine="0"/>
              <w:jc w:val="center"/>
              <w:spacing w:before="0" w:after="0" w:line="36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2"/>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2"/>
              <w:ind w:firstLine="0"/>
              <w:jc w:val="center"/>
              <w:spacing w:before="0" w:after="0" w:line="36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2"/>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2"/>
              <w:ind w:firstLine="0"/>
              <w:jc w:val="center"/>
              <w:spacing w:before="0" w:after="0" w:line="36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72"/>
              <w:ind w:firstLine="0"/>
              <w:jc w:val="both"/>
              <w:spacing w:before="0" w:after="0" w:line="36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2"/>
              <w:ind w:firstLine="0"/>
              <w:jc w:val="center"/>
              <w:spacing w:before="0" w:after="0" w:line="36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2"/>
              <w:ind w:firstLine="0"/>
              <w:spacing w:before="0" w:after="0" w:line="36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2"/>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2"/>
              <w:ind w:firstLine="0"/>
              <w:jc w:val="center"/>
              <w:spacing w:before="0" w:after="0" w:line="36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2"/>
              <w:ind w:firstLine="0"/>
              <w:jc w:val="both"/>
              <w:spacing w:before="0" w:after="0" w:line="36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2"/>
              <w:ind w:firstLine="0"/>
              <w:spacing w:before="0" w:after="0" w:line="36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2"/>
              <w:ind w:firstLine="0"/>
              <w:jc w:val="center"/>
              <w:spacing w:before="0" w:after="0" w:line="36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2"/>
              <w:ind w:firstLine="0"/>
              <w:spacing w:before="0" w:after="0" w:line="36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360" w:lineRule="auto"/>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360" w:lineRule="auto"/>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spacing w:line="360" w:lineRule="auto"/>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spacing w:line="360" w:lineRule="auto"/>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2"/>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72"/>
              <w:ind w:firstLine="0"/>
              <w:jc w:val="center"/>
              <w:spacing w:before="0" w:after="0" w:line="36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2"/>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2"/>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72"/>
              <w:ind w:firstLine="0"/>
              <w:jc w:val="center"/>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2"/>
              <w:ind w:firstLine="0"/>
              <w:jc w:val="both"/>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2"/>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2"/>
              <w:ind w:firstLine="0"/>
              <w:jc w:val="center"/>
              <w:spacing w:before="0" w:after="0" w:line="36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2"/>
              <w:ind w:firstLine="0"/>
              <w:jc w:val="both"/>
              <w:spacing w:before="0" w:after="0" w:line="36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2"/>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2"/>
              <w:ind w:firstLine="0"/>
              <w:jc w:val="both"/>
              <w:spacing w:before="0" w:after="0" w:line="36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0"/>
        </w:num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spacing w:line="360" w:lineRule="auto"/>
        <w:rPr>
          <w:rFonts w:hint="eastAsia"/>
          <w:b/>
          <w:color w:val="000000" w:themeColor="text1"/>
          <w:sz w:val="28"/>
          <w:szCs w:val="28"/>
          <w:highlight w:val="none"/>
        </w:rPr>
      </w:pPr>
      <w:r>
        <w:rPr>
          <w:rFonts w:hint="eastAsia"/>
          <w:b/>
          <w:color w:val="000000" w:themeColor="text1"/>
          <w:sz w:val="28"/>
          <w:szCs w:val="28"/>
          <w:highlight w:val="none"/>
        </w:rPr>
      </w:r>
      <w:r/>
    </w:p>
    <w:p>
      <w:pPr>
        <w:spacing w:line="360" w:lineRule="auto"/>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spacing w:line="360" w:lineRule="auto"/>
        <w:rPr>
          <w:rFonts w:hint="eastAsia" w:cs="Arial"/>
          <w:b/>
          <w:sz w:val="30"/>
          <w:szCs w:val="30"/>
        </w:rPr>
      </w:pPr>
      <w:r>
        <w:rPr>
          <w:rFonts w:hint="eastAsia" w:cs="Arial"/>
          <w:b/>
          <w:sz w:val="30"/>
          <w:szCs w:val="30"/>
        </w:rPr>
      </w:r>
      <w:r/>
    </w:p>
    <w:p>
      <w:pPr>
        <w:spacing w:line="360" w:lineRule="auto"/>
        <w:rPr>
          <w:rFonts w:hint="eastAsia" w:cs="Arial"/>
          <w:b/>
          <w:sz w:val="30"/>
          <w:szCs w:val="30"/>
        </w:rPr>
      </w:pPr>
      <w:r>
        <w:rPr>
          <w:rFonts w:hint="eastAsia" w:cs="Arial"/>
          <w:b/>
          <w:sz w:val="30"/>
          <w:szCs w:val="30"/>
        </w:rPr>
      </w:r>
      <w:r/>
    </w:p>
    <w:p>
      <w:pPr>
        <w:spacing w:line="360" w:lineRule="auto"/>
        <w:rPr>
          <w:rFonts w:hint="eastAsia" w:cs="Arial"/>
          <w:b/>
          <w:sz w:val="30"/>
          <w:szCs w:val="30"/>
        </w:rPr>
      </w:pPr>
      <w:r>
        <w:rPr>
          <w:rFonts w:hint="eastAsia" w:cs="Arial"/>
          <w:b/>
          <w:sz w:val="30"/>
          <w:szCs w:val="30"/>
        </w:rPr>
      </w:r>
      <w:r/>
    </w:p>
    <w:p>
      <w:pPr>
        <w:spacing w:line="360" w:lineRule="auto"/>
        <w:rPr>
          <w:rFonts w:hint="eastAsia" w:cs="Arial"/>
          <w:b/>
          <w:sz w:val="30"/>
          <w:szCs w:val="30"/>
        </w:rPr>
      </w:pPr>
      <w:r>
        <w:rPr>
          <w:rFonts w:hint="eastAsia" w:cs="Arial"/>
          <w:b/>
          <w:sz w:val="30"/>
          <w:szCs w:val="30"/>
        </w:rPr>
      </w:r>
      <w:r/>
    </w:p>
    <w:p>
      <w:pPr>
        <w:spacing w:line="360" w:lineRule="auto"/>
        <w:rPr>
          <w:rFonts w:hint="eastAsia" w:cs="Arial"/>
          <w:b/>
          <w:sz w:val="30"/>
          <w:szCs w:val="30"/>
        </w:rPr>
      </w:pPr>
      <w:r>
        <w:rPr>
          <w:rFonts w:hint="eastAsia" w:cs="Arial"/>
          <w:b/>
          <w:sz w:val="30"/>
          <w:szCs w:val="30"/>
        </w:rPr>
      </w:r>
      <w:r/>
    </w:p>
    <w:p>
      <w:pPr>
        <w:spacing w:line="360" w:lineRule="auto"/>
        <w:rPr>
          <w:rFonts w:hint="eastAsia" w:cs="Arial"/>
          <w:b/>
          <w:sz w:val="30"/>
          <w:szCs w:val="30"/>
        </w:rPr>
      </w:pPr>
      <w:r>
        <w:rPr>
          <w:rFonts w:hint="eastAsia" w:cs="Arial"/>
          <w:b/>
          <w:sz w:val="30"/>
          <w:szCs w:val="30"/>
        </w:rPr>
        <w:t xml:space="preserve">第二部分  投标文件格式</w:t>
      </w:r>
      <w:r/>
    </w:p>
    <w:p>
      <w:pPr>
        <w:pStyle w:val="972"/>
        <w:ind w:firstLine="0"/>
        <w:spacing w:before="0" w:after="0" w:line="360" w:lineRule="auto"/>
        <w:rPr>
          <w:rFonts w:cs="Arial"/>
          <w:b/>
          <w:sz w:val="28"/>
          <w:szCs w:val="28"/>
        </w:rPr>
      </w:pPr>
      <w:r>
        <w:rPr>
          <w:rFonts w:hint="eastAsia" w:cs="Arial"/>
          <w:b/>
          <w:sz w:val="28"/>
          <w:szCs w:val="28"/>
        </w:rPr>
        <w:t xml:space="preserve">一、封面格式（参考格式）：</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spacing w:line="360" w:lineRule="auto"/>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360" w:lineRule="auto"/>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0"/>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70"/>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0"/>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0"/>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0"/>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0"/>
        <w:ind w:firstLine="480"/>
        <w:spacing w:line="360" w:lineRule="auto"/>
        <w:rPr>
          <w:rFonts w:hint="eastAsia"/>
          <w:sz w:val="24"/>
          <w:szCs w:val="24"/>
        </w:rPr>
      </w:pPr>
      <w:r>
        <w:rPr>
          <w:rFonts w:hint="eastAsia"/>
          <w:sz w:val="24"/>
          <w:szCs w:val="24"/>
        </w:rPr>
        <w:t xml:space="preserve">特此授权委托。</w:t>
      </w:r>
      <w:r/>
    </w:p>
    <w:p>
      <w:pPr>
        <w:pStyle w:val="970"/>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0"/>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0"/>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0"/>
        <w:ind w:firstLine="0"/>
        <w:spacing w:line="360" w:lineRule="auto"/>
        <w:rPr>
          <w:rFonts w:hint="eastAsia"/>
          <w:sz w:val="21"/>
          <w:szCs w:val="21"/>
        </w:rPr>
      </w:pPr>
      <w:r>
        <w:rPr>
          <w:rFonts w:hint="eastAsia"/>
          <w:sz w:val="21"/>
          <w:szCs w:val="21"/>
        </w:rPr>
      </w:r>
      <w:r/>
    </w:p>
    <w:p>
      <w:pPr>
        <w:pStyle w:val="970"/>
        <w:ind w:firstLine="0"/>
        <w:spacing w:line="360" w:lineRule="auto"/>
        <w:rPr>
          <w:rFonts w:hint="eastAsia"/>
          <w:sz w:val="21"/>
          <w:szCs w:val="21"/>
        </w:rPr>
      </w:pPr>
      <w:r>
        <w:rPr>
          <w:rFonts w:hint="eastAsia"/>
          <w:sz w:val="21"/>
          <w:szCs w:val="21"/>
        </w:rPr>
        <w:t xml:space="preserve">说明：</w:t>
      </w:r>
      <w:r/>
    </w:p>
    <w:p>
      <w:pPr>
        <w:pStyle w:val="970"/>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0"/>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0"/>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0"/>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0"/>
        <w:ind w:firstLine="0"/>
        <w:spacing w:line="360" w:lineRule="auto"/>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spacing w:line="360" w:lineRule="auto"/>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highlight w:val="none"/>
        </w:rPr>
      </w:pPr>
      <w:r>
        <w:rPr>
          <w:highlight w:val="none"/>
        </w:rPr>
      </w:r>
      <w:r/>
    </w:p>
    <w:p>
      <w:pPr>
        <w:ind w:firstLine="560"/>
        <w:jc w:val="center"/>
        <w:spacing w:line="360" w:lineRule="auto"/>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p>
    <w:p>
      <w:pPr>
        <w:ind w:firstLine="420"/>
        <w:spacing w:line="360" w:lineRule="auto"/>
        <w:rPr>
          <w:color w:val="000000" w:themeColor="text1"/>
          <w:highlight w:val="none"/>
        </w:rPr>
      </w:pPr>
      <w:r>
        <w:rPr>
          <w:color w:val="000000" w:themeColor="text1"/>
          <w:highlight w:val="none"/>
        </w:rPr>
        <w:t xml:space="preserve"> </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p>
    <w:p>
      <w:pPr>
        <w:jc w:val="left"/>
        <w:spacing w:before="25" w:after="25" w:line="360" w:lineRule="auto"/>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none"/>
        </w:rPr>
      </w:pPr>
      <w:r>
        <w:rPr>
          <w:rFonts w:hint="eastAsia" w:ascii="宋体" w:hAnsi="宋体" w:cs="宋体"/>
          <w:b/>
          <w:color w:val="000000" w:themeColor="text1"/>
          <w:sz w:val="18"/>
          <w:szCs w:val="18"/>
          <w:highlight w:val="none"/>
        </w:rPr>
        <w:t xml:space="preserve">注：划删除线的地方无需填写。</w:t>
      </w:r>
      <w:r/>
    </w:p>
    <w:p>
      <w:pPr>
        <w:spacing w:line="360" w:lineRule="auto"/>
        <w:rPr>
          <w:rFonts w:hint="eastAsia" w:ascii="宋体" w:hAnsi="宋体" w:cs="宋体"/>
          <w:b/>
          <w:sz w:val="28"/>
          <w:szCs w:val="28"/>
          <w:highlight w:val="none"/>
        </w:rPr>
      </w:pPr>
      <w:r>
        <w:rPr>
          <w:highlight w:val="none"/>
        </w:rPr>
        <w:br w:type="page" w:clear="all"/>
      </w: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p>
    <w:p>
      <w:pPr>
        <w:ind w:firstLine="482"/>
        <w:spacing w:line="360" w:lineRule="auto"/>
        <w:rPr>
          <w:rFonts w:ascii="Arial" w:hAnsi="Arial"/>
          <w:b/>
          <w:sz w:val="24"/>
          <w:highlight w:val="none"/>
        </w:rPr>
      </w:pPr>
      <w:r>
        <w:rPr>
          <w:rFonts w:ascii="Arial" w:hAnsi="Arial"/>
          <w:b/>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sz w:val="28"/>
          <w:szCs w:val="28"/>
          <w:highlight w:val="none"/>
        </w:rPr>
      </w:pPr>
      <w:r>
        <w:rPr>
          <w:rFonts w:ascii="宋体" w:hAnsi="宋体"/>
          <w:bCs/>
          <w:color w:val="000000"/>
          <w:sz w:val="24"/>
          <w:szCs w:val="24"/>
          <w:highlight w:val="none"/>
        </w:rPr>
        <w:br w:type="page" w:clear="all"/>
      </w: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p>
    <w:p>
      <w:pPr>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p>
    <w:p>
      <w:pPr>
        <w:spacing w:line="360" w:lineRule="auto"/>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360" w:lineRule="auto"/>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spacing w:line="360" w:lineRule="auto"/>
        <w:rPr>
          <w:rFonts w:hint="eastAsia" w:ascii="黑体" w:eastAsia="黑体"/>
          <w:bCs/>
          <w:sz w:val="28"/>
          <w:szCs w:val="28"/>
        </w:rPr>
      </w:pPr>
      <w:r>
        <w:rPr>
          <w:rFonts w:hint="eastAsia" w:ascii="黑体" w:eastAsia="黑体"/>
          <w:bCs/>
          <w:sz w:val="28"/>
          <w:szCs w:val="28"/>
        </w:rPr>
        <w:t xml:space="preserve">承诺书</w:t>
      </w:r>
      <w:r/>
    </w:p>
    <w:p>
      <w:pPr>
        <w:spacing w:line="36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36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36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3720"/>
        <w:spacing w:line="36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360" w:lineRule="auto"/>
        <w:rPr>
          <w:rFonts w:hint="eastAsia" w:ascii="Arial" w:hAnsi="Arial"/>
          <w:b/>
          <w:sz w:val="24"/>
        </w:rPr>
      </w:pPr>
      <w:r>
        <w:rPr>
          <w:rFonts w:hint="eastAsia" w:ascii="Arial" w:hAnsi="Arial"/>
          <w:b/>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98"/>
              <w:jc w:val="center"/>
              <w:spacing w:line="360" w:lineRule="auto"/>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98"/>
              <w:jc w:val="center"/>
              <w:spacing w:line="360" w:lineRule="auto"/>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spacing w:line="360" w:lineRule="auto"/>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jc w:val="center"/>
        <w:spacing w:line="360" w:lineRule="auto"/>
        <w:rPr>
          <w:rFonts w:ascii="黑体" w:eastAsia="黑体"/>
          <w:bCs/>
          <w:color w:val="000000"/>
          <w:sz w:val="28"/>
          <w:szCs w:val="28"/>
        </w:rPr>
        <w:outlineLvl w:val="0"/>
      </w:pPr>
      <w:r/>
      <w:bookmarkStart w:id="202" w:name="_Toc120614284"/>
      <w:r>
        <w:rPr>
          <w:rFonts w:hint="eastAsia" w:ascii="黑体" w:eastAsia="黑体"/>
          <w:bCs/>
          <w:color w:val="000000"/>
          <w:sz w:val="28"/>
          <w:szCs w:val="28"/>
        </w:rPr>
        <w:t xml:space="preserve">分项报价表</w:t>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line="360" w:lineRule="auto"/>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line="360" w:lineRule="auto"/>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line="360" w:lineRule="auto"/>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line="360" w:lineRule="auto"/>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line="360" w:lineRule="auto"/>
              <w:rPr>
                <w:sz w:val="18"/>
              </w:rPr>
            </w:pPr>
            <w:r>
              <w:rPr>
                <w:rFonts w:hint="eastAsia"/>
                <w:sz w:val="18"/>
              </w:rPr>
              <w:t xml:space="preserve">数量</w:t>
            </w:r>
            <w:r/>
          </w:p>
        </w:tc>
        <w:tc>
          <w:tcPr>
            <w:tcW w:w="1276" w:type="dxa"/>
            <w:vAlign w:val="center"/>
            <w:textDirection w:val="lrTb"/>
            <w:noWrap w:val="false"/>
          </w:tcPr>
          <w:p>
            <w:pPr>
              <w:jc w:val="center"/>
              <w:spacing w:before="5" w:line="360" w:lineRule="auto"/>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line="360" w:lineRule="auto"/>
              <w:rPr>
                <w:sz w:val="18"/>
              </w:rPr>
            </w:pPr>
            <w:r>
              <w:rPr>
                <w:rFonts w:hint="eastAsia"/>
                <w:sz w:val="18"/>
              </w:rPr>
              <w:t xml:space="preserve">质保期</w:t>
            </w:r>
            <w:r/>
          </w:p>
        </w:tc>
        <w:tc>
          <w:tcPr>
            <w:tcW w:w="709" w:type="dxa"/>
            <w:vAlign w:val="center"/>
            <w:textDirection w:val="lrTb"/>
            <w:noWrap w:val="false"/>
          </w:tcPr>
          <w:p>
            <w:pPr>
              <w:jc w:val="center"/>
              <w:spacing w:before="5" w:line="360" w:lineRule="auto"/>
              <w:rPr>
                <w:sz w:val="18"/>
              </w:rPr>
            </w:pPr>
            <w:r>
              <w:rPr>
                <w:rFonts w:hint="eastAsia"/>
                <w:sz w:val="18"/>
              </w:rPr>
              <w:t xml:space="preserve">单报价</w:t>
            </w:r>
            <w:r/>
          </w:p>
        </w:tc>
        <w:tc>
          <w:tcPr>
            <w:tcW w:w="939" w:type="dxa"/>
            <w:vAlign w:val="center"/>
            <w:textDirection w:val="lrTb"/>
            <w:noWrap w:val="false"/>
          </w:tcPr>
          <w:p>
            <w:pPr>
              <w:jc w:val="center"/>
              <w:spacing w:before="5" w:line="360" w:lineRule="auto"/>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2"/>
              <w:spacing w:before="5" w:line="360" w:lineRule="auto"/>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32"/>
              <w:spacing w:line="360" w:lineRule="auto"/>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2"/>
              <w:spacing w:line="360" w:lineRule="auto"/>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spacing w:line="360" w:lineRule="auto"/>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spacing w:line="360" w:lineRule="auto"/>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32"/>
              <w:spacing w:line="360" w:lineRule="auto"/>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360" w:lineRule="auto"/>
              <w:rPr>
                <w:rFonts w:hint="eastAsia" w:ascii="楷体" w:hAnsi="楷体" w:eastAsia="楷体"/>
                <w:bCs/>
                <w:color w:val="000000" w:themeColor="text1"/>
                <w:sz w:val="28"/>
                <w:szCs w:val="28"/>
                <w:highlight w:val="none"/>
              </w:rPr>
            </w:pPr>
            <w:r>
              <w:rPr>
                <w:rFonts w:hint="eastAsia" w:ascii="楷体" w:hAnsi="楷体" w:eastAsia="楷体"/>
                <w:bCs/>
                <w:color w:val="000000" w:themeColor="text1"/>
                <w:sz w:val="28"/>
                <w:szCs w:val="28"/>
                <w:highlight w:val="none"/>
              </w:rPr>
              <w:t xml:space="preserve">投标人承诺：</w:t>
            </w:r>
            <w:r/>
          </w:p>
          <w:p>
            <w:pPr>
              <w:jc w:val="both"/>
              <w:spacing w:line="360" w:lineRule="auto"/>
              <w:rPr>
                <w:rFonts w:ascii="黑体" w:hAnsi="宋体" w:eastAsia="黑体"/>
                <w:b/>
                <w:bCs/>
                <w:color w:val="000000"/>
                <w:sz w:val="24"/>
                <w:szCs w:val="24"/>
                <w:highlight w:val="none"/>
              </w:rPr>
            </w:pPr>
            <w:r>
              <w:rPr>
                <w:rFonts w:hint="eastAsia" w:ascii="楷体" w:hAnsi="楷体" w:eastAsia="楷体"/>
                <w:bCs/>
                <w:color w:val="000000" w:themeColor="text1"/>
                <w:sz w:val="28"/>
                <w:szCs w:val="28"/>
                <w:highlight w:val="none"/>
              </w:rPr>
              <w:t xml:space="preserve">本采购项目或采购包中提供的符合本国产品标准的产品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占提供的全部产品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的比例：</w:t>
            </w:r>
            <w:r>
              <w:rPr>
                <w:rFonts w:hint="eastAsia" w:ascii="楷体" w:hAnsi="楷体" w:eastAsia="楷体"/>
                <w:bCs/>
                <w:color w:val="000000" w:themeColor="text1"/>
                <w:sz w:val="28"/>
                <w:szCs w:val="28"/>
                <w:highlight w:val="none"/>
                <w:u w:val="single"/>
              </w:rPr>
              <w:t xml:space="preserve">      </w:t>
            </w:r>
            <w:r>
              <w:rPr>
                <w:rFonts w:hint="eastAsia" w:ascii="楷体" w:hAnsi="楷体" w:eastAsia="楷体"/>
                <w:bCs/>
                <w:color w:val="000000" w:themeColor="text1"/>
                <w:sz w:val="28"/>
                <w:szCs w:val="28"/>
                <w:highlight w:val="none"/>
              </w:rPr>
              <w:t xml:space="preserve">%</w:t>
            </w:r>
            <w:r/>
          </w:p>
        </w:tc>
      </w:tr>
    </w:tbl>
    <w:p>
      <w:pPr>
        <w:spacing w:before="5" w:line="360" w:lineRule="auto"/>
        <w:rPr>
          <w:b/>
          <w:bCs/>
          <w:color w:val="000000"/>
          <w:sz w:val="24"/>
          <w:szCs w:val="24"/>
          <w:highlight w:val="none"/>
        </w:rPr>
      </w:pPr>
      <w:r>
        <w:rPr>
          <w:rFonts w:hint="eastAsia"/>
          <w:b/>
          <w:bCs/>
          <w:color w:val="000000"/>
          <w:sz w:val="24"/>
          <w:szCs w:val="24"/>
          <w:highlight w:val="none"/>
        </w:rPr>
        <w:t xml:space="preserve">投标人名称（盖章）：</w:t>
      </w:r>
      <w:r/>
    </w:p>
    <w:p>
      <w:pPr>
        <w:spacing w:line="360" w:lineRule="auto"/>
        <w:rPr>
          <w:rFonts w:hint="eastAsia" w:ascii="宋体" w:hAnsi="宋体"/>
          <w:b/>
          <w:color w:val="000000"/>
          <w:highlight w:val="none"/>
        </w:rPr>
        <w:outlineLvl w:val="0"/>
      </w:pPr>
      <w:r>
        <w:rPr>
          <w:rFonts w:hint="eastAsia" w:ascii="宋体" w:hAnsi="宋体"/>
          <w:b/>
          <w:color w:val="000000"/>
          <w:highlight w:val="none"/>
        </w:rPr>
      </w:r>
      <w:r/>
    </w:p>
    <w:p>
      <w:pPr>
        <w:spacing w:line="360" w:lineRule="auto"/>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rPr>
        <w:t xml:space="preserve">无锡市滨湖区公共资源交易中心</w:t>
      </w:r>
      <w:r>
        <w:rPr>
          <w:rFonts w:hint="eastAsia" w:ascii="宋体"/>
          <w:bCs/>
          <w:color w:val="000000" w:themeColor="text1"/>
          <w:highlight w:val="none"/>
        </w:rPr>
        <w:t xml:space="preserve">有权将相关内容进行公示。</w:t>
      </w:r>
      <w:r/>
    </w:p>
    <w:p>
      <w:pPr>
        <w:ind w:firstLine="315"/>
        <w:spacing w:line="360" w:lineRule="auto"/>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）投标人应当根据“采购需求”的内容在上表中详细填写。</w:t>
      </w:r>
      <w:r/>
    </w:p>
    <w:p>
      <w:pPr>
        <w:ind w:firstLine="315"/>
        <w:spacing w:line="360" w:lineRule="auto"/>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p>
    <w:p>
      <w:pPr>
        <w:ind w:firstLine="315"/>
        <w:spacing w:line="360" w:lineRule="auto"/>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（4）</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360" w:lineRule="auto"/>
        <w:rPr>
          <w:rFonts w:hint="eastAsia" w:ascii="宋体" w:hAnsi="宋体"/>
          <w:bCs/>
          <w:color w:val="000000" w:themeColor="text1"/>
          <w:highlight w:val="none"/>
          <w:u w:val="single"/>
        </w:rPr>
        <w:outlineLvl w:val="0"/>
      </w:pPr>
      <w:r>
        <w:rPr>
          <w:rFonts w:hint="eastAsia" w:ascii="宋体" w:hAnsi="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b/>
          <w:bCs/>
          <w:color w:val="000000" w:themeColor="text1"/>
          <w:highlight w:val="none"/>
          <w:u w:val="single"/>
        </w:rPr>
        <w:t xml:space="preserve">货物成本之和</w:t>
      </w:r>
      <w:r>
        <w:rPr>
          <w:rFonts w:hint="eastAsia" w:ascii="宋体" w:hAnsi="宋体"/>
          <w:bCs/>
          <w:color w:val="000000" w:themeColor="text1"/>
          <w:highlight w:val="none"/>
          <w:u w:val="single"/>
        </w:rPr>
        <w:t xml:space="preserve">；“全部产品成本之和”是指货物或服务项目（或者采购包）中包含的</w:t>
      </w:r>
      <w:r>
        <w:rPr>
          <w:rFonts w:hint="eastAsia" w:ascii="宋体" w:hAnsi="宋体"/>
          <w:b/>
          <w:bCs/>
          <w:color w:val="000000" w:themeColor="text1"/>
          <w:highlight w:val="none"/>
          <w:u w:val="single"/>
        </w:rPr>
        <w:t xml:space="preserve">全部货物、服务产品的成本之和</w:t>
      </w:r>
      <w:r>
        <w:rPr>
          <w:rFonts w:hint="eastAsia" w:ascii="宋体" w:hAnsi="宋体"/>
          <w:bCs/>
          <w:color w:val="000000" w:themeColor="text1"/>
          <w:highlight w:val="none"/>
          <w:u w:val="single"/>
        </w:rPr>
        <w:t xml:space="preserve">。</w:t>
      </w:r>
      <w:r/>
    </w:p>
    <w:p>
      <w:pPr>
        <w:spacing w:line="360" w:lineRule="auto"/>
        <w:rPr>
          <w:rFonts w:hint="eastAsia"/>
          <w:b/>
          <w:sz w:val="28"/>
          <w:szCs w:val="28"/>
          <w:highlight w:val="none"/>
        </w:rPr>
      </w:pPr>
      <w:r>
        <w:rPr>
          <w:rFonts w:hint="eastAsia" w:ascii="宋体" w:hAnsi="宋体"/>
          <w:bCs/>
          <w:color w:val="000000"/>
          <w:highlight w:val="none"/>
        </w:rPr>
        <w:br w:type="page" w:clear="all"/>
      </w:r>
      <w:r>
        <w:rPr>
          <w:rFonts w:hint="eastAsia"/>
          <w:b/>
          <w:sz w:val="28"/>
          <w:szCs w:val="28"/>
          <w:highlight w:val="none"/>
        </w:rPr>
        <w:t xml:space="preserve">十</w:t>
      </w:r>
      <w:r>
        <w:rPr>
          <w:b/>
          <w:sz w:val="28"/>
          <w:szCs w:val="28"/>
          <w:highlight w:val="none"/>
        </w:rPr>
        <w:t xml:space="preserve">、</w:t>
      </w:r>
      <w:r>
        <w:rPr>
          <w:rFonts w:hint="eastAsia"/>
          <w:b/>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7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bCs/>
          <w:color w:val="000000"/>
          <w:sz w:val="30"/>
          <w:highlight w:val="none"/>
        </w:rPr>
      </w:pPr>
      <w:r>
        <w:rPr>
          <w:rFonts w:ascii="宋体"/>
          <w:bCs/>
          <w:color w:val="000000"/>
          <w:sz w:val="30"/>
          <w:highlight w:val="none"/>
        </w:rPr>
      </w:r>
      <w:r/>
    </w:p>
    <w:p>
      <w:pPr>
        <w:ind w:firstLine="42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spacing w:line="36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7"/>
      <w:r/>
      <w:bookmarkEnd w:id="188"/>
      <w:r/>
      <w:bookmarkEnd w:id="202"/>
      <w:r/>
      <w:bookmarkStart w:id="203" w:name="_格式2__法定代表人授权书"/>
      <w:r/>
      <w:bookmarkEnd w:id="203"/>
      <w:r/>
      <w:bookmarkStart w:id="204" w:name="_Hlt26955066"/>
      <w:r/>
      <w:bookmarkEnd w:id="204"/>
      <w:r/>
      <w:bookmarkStart w:id="205" w:name="_Hlt26671374"/>
      <w:r/>
      <w:bookmarkEnd w:id="205"/>
      <w:r/>
      <w:bookmarkStart w:id="206" w:name="_Hlt26609389"/>
      <w:r/>
      <w:bookmarkEnd w:id="206"/>
      <w:r/>
      <w:r/>
    </w:p>
    <w:p>
      <w:pPr>
        <w:ind w:firstLine="420"/>
        <w:spacing w:line="36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序号</w:t>
            </w:r>
            <w:r/>
          </w:p>
        </w:tc>
        <w:tc>
          <w:tcPr>
            <w:tcW w:w="147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姓名</w:t>
            </w:r>
            <w:r/>
          </w:p>
        </w:tc>
        <w:tc>
          <w:tcPr>
            <w:tcW w:w="720"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年龄</w:t>
            </w:r>
            <w:r/>
          </w:p>
        </w:tc>
        <w:tc>
          <w:tcPr>
            <w:tcW w:w="2520"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本项目职责</w:t>
            </w:r>
            <w:r/>
          </w:p>
        </w:tc>
        <w:tc>
          <w:tcPr>
            <w:tcW w:w="327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人员证书名称</w:t>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spacing w:line="360" w:lineRule="auto"/>
        <w:rPr>
          <w:b/>
          <w:bCs/>
          <w:sz w:val="24"/>
          <w:szCs w:val="24"/>
          <w:highlight w:val="none"/>
        </w:rPr>
      </w:pPr>
      <w:r>
        <w:rPr>
          <w:rFonts w:hint="eastAsia" w:ascii="黑体" w:eastAsia="黑体"/>
          <w:bCs/>
          <w:sz w:val="24"/>
          <w:szCs w:val="24"/>
          <w:highlight w:val="none"/>
        </w:rPr>
        <w:t xml:space="preserve">投标人名称（盖章）</w:t>
      </w:r>
      <w:r/>
    </w:p>
    <w:p>
      <w:pPr>
        <w:spacing w:line="360" w:lineRule="auto"/>
        <w:rPr>
          <w:rFonts w:hint="eastAsia" w:ascii="宋体" w:hAnsi="宋体"/>
          <w:bCs/>
          <w:color w:val="000000"/>
          <w:highlight w:val="none"/>
        </w:rPr>
      </w:pPr>
      <w:r>
        <w:rPr>
          <w:rFonts w:hint="eastAsia"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注：1. 表格不够可自行延长。</w:t>
      </w:r>
      <w:r/>
    </w:p>
    <w:p>
      <w:pPr>
        <w:ind w:firstLine="420"/>
        <w:spacing w:line="360" w:lineRule="auto"/>
        <w:rPr>
          <w:highlight w:val="none"/>
        </w:rPr>
      </w:pPr>
      <w:r>
        <w:rPr>
          <w:rFonts w:hint="eastAsia" w:ascii="宋体" w:hAnsi="宋体"/>
          <w:bCs/>
          <w:color w:val="000000"/>
          <w:highlight w:val="none"/>
        </w:rPr>
        <w:t xml:space="preserve">2.上表内容须提供投标人近一年中任意一个月份</w:t>
      </w:r>
      <w:r>
        <w:rPr>
          <w:rFonts w:hint="eastAsia" w:ascii="宋体" w:hAnsi="宋体"/>
          <w:bCs/>
          <w:color w:val="000000"/>
          <w:highlight w:val="none"/>
          <w:lang w:eastAsia="zh-CN"/>
        </w:rPr>
        <w:t xml:space="preserve">（</w:t>
      </w:r>
      <w:r>
        <w:rPr>
          <w:rFonts w:hint="eastAsia" w:ascii="宋体" w:hAnsi="宋体"/>
          <w:bCs/>
          <w:color w:val="000000"/>
          <w:highlight w:val="none"/>
        </w:rPr>
        <w:t xml:space="preserve">不含投标当月</w:t>
      </w:r>
      <w:r>
        <w:rPr>
          <w:rFonts w:hint="eastAsia" w:ascii="宋体" w:hAnsi="宋体"/>
          <w:bCs/>
          <w:color w:val="000000"/>
          <w:highlight w:val="none"/>
          <w:lang w:eastAsia="zh-CN"/>
        </w:rPr>
        <w:t xml:space="preserve">）</w:t>
      </w:r>
      <w:r>
        <w:rPr>
          <w:rFonts w:hint="eastAsia" w:ascii="宋体" w:hAnsi="宋体"/>
          <w:bCs/>
          <w:color w:val="000000"/>
          <w:highlight w:val="none"/>
        </w:rPr>
        <w:t xml:space="preserve">经社保部门确认的社保缴纳名单复印件（标注各人员所处位置）和相关证书复印件作为填列证明材料，证明材料请附在本表之后。</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hint="eastAsia" w:ascii="宋体" w:hAnsi="宋体"/>
          <w:bCs/>
          <w:highlight w:val="none"/>
        </w:rPr>
      </w:pPr>
      <w:r>
        <w:rPr>
          <w:rFonts w:hint="eastAsia" w:ascii="宋体" w:hAnsi="宋体"/>
          <w:bCs/>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３４</w:t>
    </w:r>
    <w:r>
      <w:rPr>
        <w:rFonts w:ascii="宋体" w:hAnsi="宋体"/>
      </w:rPr>
      <w:fldChar w:fldCharType="end"/>
    </w:r>
    <w:r/>
  </w:p>
  <w:p>
    <w:pPr>
      <w:pStyle w:val="93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0"/>
      <w:isLgl w:val="false"/>
      <w:suff w:val="nothing"/>
      <w:lvlText w:val=""/>
      <w:lvlJc w:val="left"/>
      <w:pPr>
        <w:ind w:left="0" w:firstLine="0"/>
      </w:pPr>
      <w:rPr>
        <w:rFonts w:hint="eastAsia"/>
      </w:rPr>
    </w:lvl>
    <w:lvl w:ilvl="6">
      <w:start w:val="1"/>
      <w:numFmt w:val="decimal"/>
      <w:pStyle w:val="891"/>
      <w:isLgl w:val="false"/>
      <w:suff w:val="nothing"/>
      <w:lvlText w:val=""/>
      <w:lvlJc w:val="left"/>
      <w:pPr>
        <w:ind w:left="0" w:firstLine="0"/>
      </w:pPr>
      <w:rPr>
        <w:rFonts w:hint="eastAsia"/>
      </w:rPr>
    </w:lvl>
    <w:lvl w:ilvl="7">
      <w:start w:val="1"/>
      <w:numFmt w:val="decimal"/>
      <w:pStyle w:val="892"/>
      <w:isLgl w:val="false"/>
      <w:suff w:val="nothing"/>
      <w:lvlText w:val=""/>
      <w:lvlJc w:val="left"/>
      <w:pPr>
        <w:ind w:left="0" w:firstLine="0"/>
      </w:pPr>
      <w:rPr>
        <w:rFonts w:hint="eastAsia"/>
      </w:rPr>
    </w:lvl>
    <w:lvl w:ilvl="8">
      <w:start w:val="1"/>
      <w:numFmt w:val="decimal"/>
      <w:pStyle w:val="893"/>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5"/>
  </w:num>
  <w:num w:numId="6">
    <w:abstractNumId w:val="6"/>
  </w:num>
  <w:num w:numId="7">
    <w:abstractNumId w:val="7"/>
  </w:num>
  <w:num w:numId="8">
    <w:abstractNumId w:val="3"/>
  </w:num>
  <w:num w:numId="9">
    <w:abstractNumId w:val="10"/>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6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6"/>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7"/>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rPr>
  </w:style>
  <w:style w:type="paragraph" w:styleId="716">
    <w:name w:val="index 4"/>
    <w:basedOn w:val="702"/>
    <w:next w:val="702"/>
    <w:uiPriority w:val="0"/>
    <w:qFormat/>
    <w:pPr>
      <w:ind w:left="600"/>
      <w:spacing w:line="360" w:lineRule="auto"/>
    </w:pPr>
    <w:rPr>
      <w:sz w:val="24"/>
    </w:r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link w:val="882"/>
    <w:uiPriority w:val="99"/>
    <w:semiHidden/>
    <w:unhideWhenUsed/>
    <w:qFormat/>
    <w:pPr>
      <w:spacing w:after="0" w:line="240" w:lineRule="auto"/>
    </w:pPr>
    <w:rPr>
      <w:sz w:val="20"/>
    </w:rPr>
  </w:style>
  <w:style w:type="paragraph" w:styleId="721">
    <w:name w:val="Footer"/>
    <w:basedOn w:val="702"/>
    <w:link w:val="755"/>
    <w:uiPriority w:val="99"/>
    <w:unhideWhenUsed/>
    <w:qFormat/>
    <w:pPr>
      <w:spacing w:after="0" w:line="240" w:lineRule="auto"/>
      <w:tabs>
        <w:tab w:val="center" w:pos="7143" w:leader="none"/>
        <w:tab w:val="right" w:pos="14287" w:leader="none"/>
      </w:tabs>
    </w:pPr>
  </w:style>
  <w:style w:type="paragraph" w:styleId="722">
    <w:name w:val="Header"/>
    <w:basedOn w:val="702"/>
    <w:link w:val="753"/>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qFormat/>
    <w:pPr>
      <w:ind w:left="0" w:right="0" w:firstLine="0"/>
      <w:spacing w:after="57"/>
    </w:pPr>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link w:val="748"/>
    <w:uiPriority w:val="11"/>
    <w:qFormat/>
    <w:pPr>
      <w:spacing w:before="200" w:after="200"/>
    </w:pPr>
    <w:rPr>
      <w:sz w:val="24"/>
      <w:szCs w:val="24"/>
    </w:rPr>
  </w:style>
  <w:style w:type="paragraph" w:styleId="726">
    <w:name w:val="footnote text"/>
    <w:basedOn w:val="702"/>
    <w:link w:val="881"/>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qFormat/>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Title"/>
    <w:basedOn w:val="702"/>
    <w:next w:val="702"/>
    <w:link w:val="747"/>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character" w:styleId="736" w:customStyle="1">
    <w:name w:val="Heading 1 Char"/>
    <w:link w:val="703"/>
    <w:uiPriority w:val="9"/>
    <w:qFormat/>
    <w:rPr>
      <w:rFonts w:ascii="Arial" w:hAnsi="Arial" w:eastAsia="Arial" w:cs="Arial"/>
      <w:sz w:val="40"/>
      <w:szCs w:val="40"/>
    </w:rPr>
  </w:style>
  <w:style w:type="character" w:styleId="737" w:customStyle="1">
    <w:name w:val="Heading 2 Char"/>
    <w:link w:val="704"/>
    <w:uiPriority w:val="9"/>
    <w:qFormat/>
    <w:rPr>
      <w:rFonts w:ascii="Arial" w:hAnsi="Arial" w:eastAsia="Arial" w:cs="Arial"/>
      <w:sz w:val="34"/>
    </w:rPr>
  </w:style>
  <w:style w:type="character" w:styleId="738" w:customStyle="1">
    <w:name w:val="Heading 3 Char"/>
    <w:link w:val="705"/>
    <w:uiPriority w:val="9"/>
    <w:qFormat/>
    <w:rPr>
      <w:rFonts w:ascii="Arial" w:hAnsi="Arial" w:eastAsia="Arial" w:cs="Arial"/>
      <w:sz w:val="30"/>
      <w:szCs w:val="30"/>
    </w:rPr>
  </w:style>
  <w:style w:type="character" w:styleId="739" w:customStyle="1">
    <w:name w:val="Heading 4 Char"/>
    <w:link w:val="706"/>
    <w:uiPriority w:val="9"/>
    <w:qFormat/>
    <w:rPr>
      <w:rFonts w:ascii="Arial" w:hAnsi="Arial" w:eastAsia="Arial" w:cs="Arial"/>
      <w:b/>
      <w:bCs/>
      <w:sz w:val="26"/>
      <w:szCs w:val="26"/>
    </w:rPr>
  </w:style>
  <w:style w:type="character" w:styleId="740" w:customStyle="1">
    <w:name w:val="Heading 5 Char"/>
    <w:link w:val="707"/>
    <w:uiPriority w:val="9"/>
    <w:qFormat/>
    <w:rPr>
      <w:rFonts w:ascii="Arial" w:hAnsi="Arial" w:eastAsia="Arial" w:cs="Arial"/>
      <w:b/>
      <w:bCs/>
      <w:sz w:val="24"/>
      <w:szCs w:val="24"/>
    </w:rPr>
  </w:style>
  <w:style w:type="character" w:styleId="741" w:customStyle="1">
    <w:name w:val="Heading 6 Char"/>
    <w:link w:val="708"/>
    <w:uiPriority w:val="9"/>
    <w:qFormat/>
    <w:rPr>
      <w:rFonts w:ascii="Arial" w:hAnsi="Arial" w:eastAsia="Arial" w:cs="Arial"/>
      <w:b/>
      <w:bCs/>
      <w:sz w:val="22"/>
      <w:szCs w:val="22"/>
    </w:rPr>
  </w:style>
  <w:style w:type="character" w:styleId="742" w:customStyle="1">
    <w:name w:val="Heading 7 Char"/>
    <w:link w:val="709"/>
    <w:uiPriority w:val="9"/>
    <w:qFormat/>
    <w:rPr>
      <w:rFonts w:ascii="Arial" w:hAnsi="Arial" w:eastAsia="Arial" w:cs="Arial"/>
      <w:b/>
      <w:bCs/>
      <w:i/>
      <w:iCs/>
      <w:sz w:val="22"/>
      <w:szCs w:val="22"/>
    </w:rPr>
  </w:style>
  <w:style w:type="character" w:styleId="743" w:customStyle="1">
    <w:name w:val="Heading 8 Char"/>
    <w:link w:val="710"/>
    <w:uiPriority w:val="9"/>
    <w:qFormat/>
    <w:rPr>
      <w:rFonts w:ascii="Arial" w:hAnsi="Arial" w:eastAsia="Arial" w:cs="Arial"/>
      <w:i/>
      <w:iCs/>
      <w:sz w:val="22"/>
      <w:szCs w:val="22"/>
    </w:rPr>
  </w:style>
  <w:style w:type="character" w:styleId="744" w:customStyle="1">
    <w:name w:val="Heading 9 Char"/>
    <w:link w:val="711"/>
    <w:uiPriority w:val="9"/>
    <w:qFormat/>
    <w:rPr>
      <w:rFonts w:ascii="Arial" w:hAnsi="Arial" w:eastAsia="Arial" w:cs="Arial"/>
      <w:i/>
      <w:iCs/>
      <w:sz w:val="21"/>
      <w:szCs w:val="21"/>
    </w:rPr>
  </w:style>
  <w:style w:type="paragraph" w:styleId="745">
    <w:name w:val="List Paragraph"/>
    <w:basedOn w:val="702"/>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1"/>
    <w:uiPriority w:val="10"/>
    <w:qFormat/>
    <w:rPr>
      <w:sz w:val="48"/>
      <w:szCs w:val="48"/>
    </w:rPr>
  </w:style>
  <w:style w:type="character" w:styleId="748" w:customStyle="1">
    <w:name w:val="Subtitle Char"/>
    <w:link w:val="725"/>
    <w:uiPriority w:val="11"/>
    <w:qFormat/>
    <w:rPr>
      <w:sz w:val="24"/>
      <w:szCs w:val="24"/>
    </w:rPr>
  </w:style>
  <w:style w:type="paragraph" w:styleId="749">
    <w:name w:val="Quote"/>
    <w:basedOn w:val="702"/>
    <w:next w:val="702"/>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702"/>
    <w:next w:val="702"/>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2"/>
    <w:uiPriority w:val="99"/>
    <w:qFormat/>
  </w:style>
  <w:style w:type="character" w:styleId="754" w:customStyle="1">
    <w:name w:val="Footer Char"/>
    <w:link w:val="721"/>
    <w:uiPriority w:val="99"/>
    <w:qFormat/>
  </w:style>
  <w:style w:type="character" w:styleId="755" w:customStyle="1">
    <w:name w:val="Caption Char"/>
    <w:link w:val="721"/>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6"/>
    <w:uiPriority w:val="99"/>
    <w:qFormat/>
    <w:rPr>
      <w:sz w:val="18"/>
    </w:rPr>
  </w:style>
  <w:style w:type="character" w:styleId="882" w:customStyle="1">
    <w:name w:val="Endnote Text Char"/>
    <w:link w:val="720"/>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702"/>
    <w:next w:val="702"/>
    <w:link w:val="896"/>
    <w:uiPriority w:val="0"/>
    <w:qFormat/>
    <w:pPr>
      <w:jc w:val="center"/>
      <w:keepNext/>
      <w:outlineLvl w:val="0"/>
    </w:pPr>
    <w:rPr>
      <w:rFonts w:ascii="楷体_GB2312" w:eastAsia="楷体_GB2312"/>
      <w:sz w:val="28"/>
      <w:szCs w:val="28"/>
    </w:rPr>
  </w:style>
  <w:style w:type="paragraph" w:styleId="885" w:customStyle="1">
    <w:name w:val="标题 21"/>
    <w:basedOn w:val="702"/>
    <w:next w:val="886"/>
    <w:link w:val="897"/>
    <w:uiPriority w:val="0"/>
    <w:qFormat/>
    <w:pPr>
      <w:jc w:val="center"/>
      <w:keepLines/>
      <w:keepNext/>
      <w:spacing w:before="260" w:after="260" w:line="416" w:lineRule="auto"/>
      <w:outlineLvl w:val="1"/>
    </w:pPr>
    <w:rPr>
      <w:rFonts w:ascii="Arial" w:hAnsi="Arial" w:eastAsia="幼圆"/>
      <w:b/>
      <w:bCs/>
      <w:sz w:val="44"/>
      <w:szCs w:val="44"/>
    </w:rPr>
  </w:style>
  <w:style w:type="paragraph" w:styleId="886" w:customStyle="1">
    <w:name w:val="正文缩进1"/>
    <w:basedOn w:val="702"/>
    <w:link w:val="898"/>
    <w:uiPriority w:val="0"/>
    <w:qFormat/>
    <w:pPr>
      <w:ind w:firstLine="420"/>
    </w:pPr>
    <w:rPr>
      <w:sz w:val="20"/>
    </w:rPr>
  </w:style>
  <w:style w:type="paragraph" w:styleId="887" w:customStyle="1">
    <w:name w:val="标题 31"/>
    <w:basedOn w:val="702"/>
    <w:next w:val="886"/>
    <w:link w:val="899"/>
    <w:uiPriority w:val="0"/>
    <w:qFormat/>
    <w:pPr>
      <w:keepLines/>
      <w:keepNext/>
      <w:spacing w:before="260" w:after="260" w:line="416" w:lineRule="auto"/>
      <w:outlineLvl w:val="2"/>
    </w:pPr>
    <w:rPr>
      <w:b/>
      <w:bCs/>
      <w:sz w:val="32"/>
      <w:szCs w:val="32"/>
    </w:rPr>
  </w:style>
  <w:style w:type="paragraph" w:styleId="888" w:customStyle="1">
    <w:name w:val="标题 41"/>
    <w:basedOn w:val="702"/>
    <w:next w:val="886"/>
    <w:link w:val="900"/>
    <w:uiPriority w:val="0"/>
    <w:qFormat/>
    <w:pPr>
      <w:keepLines/>
      <w:keepNext/>
      <w:spacing w:before="280" w:after="290" w:line="376" w:lineRule="auto"/>
      <w:outlineLvl w:val="3"/>
    </w:pPr>
    <w:rPr>
      <w:rFonts w:ascii="Arial" w:hAnsi="Arial" w:eastAsia="黑体"/>
      <w:b/>
      <w:bCs/>
      <w:sz w:val="28"/>
      <w:szCs w:val="28"/>
    </w:rPr>
  </w:style>
  <w:style w:type="paragraph" w:styleId="889" w:customStyle="1">
    <w:name w:val="标题 51"/>
    <w:basedOn w:val="702"/>
    <w:next w:val="886"/>
    <w:link w:val="901"/>
    <w:uiPriority w:val="0"/>
    <w:qFormat/>
    <w:pPr>
      <w:keepNext/>
      <w:outlineLvl w:val="4"/>
    </w:pPr>
    <w:rPr>
      <w:rFonts w:ascii="宋体"/>
      <w:color w:val="000000"/>
      <w:sz w:val="28"/>
      <w:szCs w:val="28"/>
    </w:rPr>
  </w:style>
  <w:style w:type="paragraph" w:styleId="890" w:customStyle="1">
    <w:name w:val="标题 61"/>
    <w:basedOn w:val="702"/>
    <w:next w:val="702"/>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1" w:customStyle="1">
    <w:name w:val="标题 71"/>
    <w:basedOn w:val="702"/>
    <w:next w:val="702"/>
    <w:link w:val="903"/>
    <w:uiPriority w:val="0"/>
    <w:qFormat/>
    <w:pPr>
      <w:numPr>
        <w:ilvl w:val="6"/>
        <w:numId w:val="1"/>
      </w:numPr>
      <w:keepLines/>
      <w:keepNext/>
      <w:spacing w:before="240" w:after="64" w:line="320" w:lineRule="auto"/>
      <w:outlineLvl w:val="6"/>
    </w:pPr>
    <w:rPr>
      <w:b/>
      <w:bCs/>
      <w:sz w:val="24"/>
      <w:szCs w:val="24"/>
    </w:rPr>
  </w:style>
  <w:style w:type="paragraph" w:styleId="892" w:customStyle="1">
    <w:name w:val="标题 81"/>
    <w:basedOn w:val="702"/>
    <w:next w:val="702"/>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3" w:customStyle="1">
    <w:name w:val="标题 91"/>
    <w:basedOn w:val="702"/>
    <w:next w:val="702"/>
    <w:link w:val="905"/>
    <w:uiPriority w:val="0"/>
    <w:qFormat/>
    <w:pPr>
      <w:numPr>
        <w:ilvl w:val="8"/>
        <w:numId w:val="1"/>
      </w:numPr>
      <w:keepLines/>
      <w:keepNext/>
      <w:spacing w:before="240" w:after="64" w:line="320" w:lineRule="auto"/>
      <w:outlineLvl w:val="8"/>
    </w:pPr>
    <w:rPr>
      <w:rFonts w:ascii="Arial" w:hAnsi="Arial" w:eastAsia="黑体"/>
      <w:sz w:val="20"/>
    </w:rPr>
  </w:style>
  <w:style w:type="character" w:styleId="894" w:customStyle="1">
    <w:name w:val="默认段落字体1"/>
    <w:link w:val="702"/>
    <w:uiPriority w:val="1"/>
    <w:unhideWhenUsed/>
    <w:qFormat/>
  </w:style>
  <w:style w:type="table" w:styleId="895" w:customStyle="1">
    <w:name w:val="普通表格1"/>
    <w:uiPriority w:val="99"/>
    <w:unhideWhenUsed/>
    <w:qFormat/>
    <w:tblPr/>
  </w:style>
  <w:style w:type="character" w:styleId="896" w:customStyle="1">
    <w:name w:val="标题 1 Char"/>
    <w:link w:val="884"/>
    <w:uiPriority w:val="0"/>
    <w:qFormat/>
    <w:rPr>
      <w:rFonts w:ascii="楷体_GB2312" w:hAnsi="Times New Roman" w:eastAsia="楷体_GB2312" w:cs="Times New Roman"/>
      <w:sz w:val="28"/>
      <w:szCs w:val="28"/>
    </w:rPr>
  </w:style>
  <w:style w:type="character" w:styleId="897" w:customStyle="1">
    <w:name w:val="标题 2 Char"/>
    <w:link w:val="885"/>
    <w:uiPriority w:val="0"/>
    <w:qFormat/>
    <w:rPr>
      <w:rFonts w:ascii="Arial" w:hAnsi="Arial" w:eastAsia="幼圆" w:cs="Arial"/>
      <w:b/>
      <w:bCs/>
      <w:sz w:val="44"/>
      <w:szCs w:val="44"/>
    </w:rPr>
  </w:style>
  <w:style w:type="character" w:styleId="898" w:customStyle="1">
    <w:name w:val="正文缩进 Char"/>
    <w:link w:val="886"/>
    <w:uiPriority w:val="0"/>
    <w:qFormat/>
    <w:rPr>
      <w:rFonts w:ascii="Times New Roman" w:hAnsi="Times New Roman" w:eastAsia="宋体" w:cs="Times New Roman"/>
      <w:szCs w:val="21"/>
    </w:rPr>
  </w:style>
  <w:style w:type="character" w:styleId="899" w:customStyle="1">
    <w:name w:val="标题 3 Char"/>
    <w:link w:val="887"/>
    <w:uiPriority w:val="0"/>
    <w:qFormat/>
    <w:rPr>
      <w:rFonts w:ascii="Times New Roman" w:hAnsi="Times New Roman" w:eastAsia="宋体" w:cs="Times New Roman"/>
      <w:b/>
      <w:bCs/>
      <w:sz w:val="32"/>
      <w:szCs w:val="32"/>
    </w:rPr>
  </w:style>
  <w:style w:type="character" w:styleId="900" w:customStyle="1">
    <w:name w:val="标题 4 Char"/>
    <w:link w:val="888"/>
    <w:uiPriority w:val="0"/>
    <w:qFormat/>
    <w:rPr>
      <w:rFonts w:ascii="Arial" w:hAnsi="Arial" w:eastAsia="黑体" w:cs="Arial"/>
      <w:b/>
      <w:bCs/>
      <w:sz w:val="28"/>
      <w:szCs w:val="28"/>
    </w:rPr>
  </w:style>
  <w:style w:type="character" w:styleId="901" w:customStyle="1">
    <w:name w:val="标题 5 Char"/>
    <w:link w:val="889"/>
    <w:uiPriority w:val="0"/>
    <w:qFormat/>
    <w:rPr>
      <w:rFonts w:ascii="宋体" w:hAnsi="Times New Roman" w:eastAsia="宋体" w:cs="Times New Roman"/>
      <w:color w:val="000000"/>
      <w:sz w:val="28"/>
      <w:szCs w:val="28"/>
    </w:rPr>
  </w:style>
  <w:style w:type="character" w:styleId="902" w:customStyle="1">
    <w:name w:val="标题 6 Char"/>
    <w:link w:val="890"/>
    <w:uiPriority w:val="0"/>
    <w:qFormat/>
    <w:rPr>
      <w:rFonts w:ascii="Arial" w:hAnsi="Arial" w:eastAsia="黑体" w:cs="Times New Roman"/>
      <w:b/>
      <w:bCs/>
      <w:sz w:val="24"/>
      <w:szCs w:val="24"/>
    </w:rPr>
  </w:style>
  <w:style w:type="character" w:styleId="903" w:customStyle="1">
    <w:name w:val="标题 7 Char"/>
    <w:link w:val="891"/>
    <w:uiPriority w:val="0"/>
    <w:qFormat/>
    <w:rPr>
      <w:rFonts w:ascii="Times New Roman" w:hAnsi="Times New Roman" w:eastAsia="宋体" w:cs="Times New Roman"/>
      <w:b/>
      <w:bCs/>
      <w:sz w:val="24"/>
      <w:szCs w:val="24"/>
    </w:rPr>
  </w:style>
  <w:style w:type="character" w:styleId="904" w:customStyle="1">
    <w:name w:val="标题 8 Char"/>
    <w:link w:val="892"/>
    <w:uiPriority w:val="0"/>
    <w:qFormat/>
    <w:rPr>
      <w:rFonts w:ascii="Arial" w:hAnsi="Arial" w:eastAsia="黑体" w:cs="Times New Roman"/>
      <w:sz w:val="24"/>
      <w:szCs w:val="24"/>
    </w:rPr>
  </w:style>
  <w:style w:type="character" w:styleId="905" w:customStyle="1">
    <w:name w:val="标题 9 Char"/>
    <w:link w:val="893"/>
    <w:uiPriority w:val="0"/>
    <w:qFormat/>
    <w:rPr>
      <w:rFonts w:ascii="Arial" w:hAnsi="Arial" w:eastAsia="黑体" w:cs="Times New Roman"/>
      <w:szCs w:val="21"/>
    </w:rPr>
  </w:style>
  <w:style w:type="paragraph" w:styleId="906" w:customStyle="1">
    <w:name w:val="列表 31"/>
    <w:basedOn w:val="702"/>
    <w:uiPriority w:val="0"/>
    <w:qFormat/>
    <w:pPr>
      <w:ind w:left="100" w:hanging="200"/>
    </w:pPr>
  </w:style>
  <w:style w:type="paragraph" w:styleId="907" w:customStyle="1">
    <w:name w:val="目录 71"/>
    <w:basedOn w:val="702"/>
    <w:next w:val="702"/>
    <w:uiPriority w:val="0"/>
    <w:semiHidden/>
    <w:qFormat/>
    <w:pPr>
      <w:ind w:left="1260"/>
      <w:jc w:val="left"/>
    </w:pPr>
  </w:style>
  <w:style w:type="paragraph" w:styleId="908" w:customStyle="1">
    <w:name w:val="文档结构图1"/>
    <w:basedOn w:val="702"/>
    <w:link w:val="909"/>
    <w:uiPriority w:val="0"/>
    <w:semiHidden/>
    <w:qFormat/>
    <w:pPr>
      <w:shd w:val="clear" w:color="auto" w:fill="000080"/>
    </w:pPr>
    <w:rPr>
      <w:sz w:val="20"/>
    </w:r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702"/>
    <w:link w:val="911"/>
    <w:uiPriority w:val="0"/>
    <w:semiHidden/>
    <w:qFormat/>
    <w:pPr>
      <w:jc w:val="left"/>
    </w:pPr>
    <w:rPr>
      <w:sz w:val="20"/>
    </w:rPr>
  </w:style>
  <w:style w:type="character" w:styleId="911" w:customStyle="1">
    <w:name w:val="批注文字 Char"/>
    <w:link w:val="910"/>
    <w:uiPriority w:val="0"/>
    <w:semiHidden/>
    <w:qFormat/>
    <w:rPr>
      <w:rFonts w:ascii="Times New Roman" w:hAnsi="Times New Roman" w:eastAsia="宋体" w:cs="Times New Roman"/>
      <w:szCs w:val="21"/>
    </w:rPr>
  </w:style>
  <w:style w:type="paragraph" w:styleId="912" w:customStyle="1">
    <w:name w:val="正文文本 31"/>
    <w:basedOn w:val="702"/>
    <w:link w:val="913"/>
    <w:uiPriority w:val="0"/>
    <w:qFormat/>
    <w:rPr>
      <w:rFonts w:ascii="仿宋_GB2312" w:hAnsi="Arial" w:eastAsia="仿宋_GB2312"/>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
    <w:basedOn w:val="702"/>
    <w:link w:val="915"/>
    <w:uiPriority w:val="0"/>
    <w:qFormat/>
    <w:rPr>
      <w:rFonts w:ascii="楷体_GB2312" w:hAnsi="Arial" w:eastAsia="楷体_GB2312"/>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正文文本缩进1"/>
    <w:basedOn w:val="702"/>
    <w:link w:val="917"/>
    <w:uiPriority w:val="0"/>
    <w:qFormat/>
    <w:pPr>
      <w:ind w:firstLine="645"/>
    </w:pPr>
    <w:rPr>
      <w:rFonts w:ascii="楷体_GB2312" w:eastAsia="楷体_GB2312"/>
      <w:sz w:val="32"/>
      <w:szCs w:val="32"/>
    </w:rPr>
  </w:style>
  <w:style w:type="character" w:styleId="917" w:customStyle="1">
    <w:name w:val="正文文本缩进 Char"/>
    <w:link w:val="916"/>
    <w:uiPriority w:val="0"/>
    <w:qFormat/>
    <w:rPr>
      <w:rFonts w:ascii="楷体_GB2312" w:hAnsi="Times New Roman" w:eastAsia="楷体_GB2312" w:cs="Times New Roman"/>
      <w:sz w:val="32"/>
      <w:szCs w:val="32"/>
    </w:rPr>
  </w:style>
  <w:style w:type="paragraph" w:styleId="918" w:customStyle="1">
    <w:name w:val="列表 21"/>
    <w:basedOn w:val="702"/>
    <w:uiPriority w:val="0"/>
    <w:qFormat/>
    <w:pPr>
      <w:ind w:left="100" w:hanging="200"/>
    </w:pPr>
  </w:style>
  <w:style w:type="paragraph" w:styleId="919" w:customStyle="1">
    <w:name w:val="目录 51"/>
    <w:basedOn w:val="702"/>
    <w:next w:val="702"/>
    <w:uiPriority w:val="0"/>
    <w:semiHidden/>
    <w:qFormat/>
    <w:pPr>
      <w:ind w:left="840"/>
      <w:jc w:val="left"/>
    </w:pPr>
  </w:style>
  <w:style w:type="paragraph" w:styleId="920" w:customStyle="1">
    <w:name w:val="目录 31"/>
    <w:basedOn w:val="702"/>
    <w:next w:val="702"/>
    <w:uiPriority w:val="0"/>
    <w:semiHidden/>
    <w:qFormat/>
    <w:pPr>
      <w:ind w:left="420"/>
      <w:jc w:val="left"/>
    </w:pPr>
    <w:rPr>
      <w:i/>
      <w:iCs/>
      <w:szCs w:val="24"/>
    </w:rPr>
  </w:style>
  <w:style w:type="paragraph" w:styleId="921" w:customStyle="1">
    <w:name w:val="纯文本1"/>
    <w:basedOn w:val="702"/>
    <w:link w:val="922"/>
    <w:uiPriority w:val="0"/>
    <w:qFormat/>
    <w:rPr>
      <w:rFonts w:ascii="宋体" w:hAnsi="Courier New"/>
      <w:sz w:val="20"/>
    </w:rPr>
  </w:style>
  <w:style w:type="character" w:styleId="922" w:customStyle="1">
    <w:name w:val="纯文本 Char"/>
    <w:link w:val="921"/>
    <w:uiPriority w:val="0"/>
    <w:qFormat/>
    <w:rPr>
      <w:rFonts w:ascii="宋体" w:hAnsi="Courier New" w:eastAsia="宋体" w:cs="Courier New"/>
      <w:szCs w:val="21"/>
    </w:rPr>
  </w:style>
  <w:style w:type="paragraph" w:styleId="923" w:customStyle="1">
    <w:name w:val="目录 81"/>
    <w:basedOn w:val="702"/>
    <w:next w:val="702"/>
    <w:uiPriority w:val="0"/>
    <w:semiHidden/>
    <w:qFormat/>
    <w:pPr>
      <w:ind w:left="1470"/>
      <w:jc w:val="left"/>
    </w:pPr>
  </w:style>
  <w:style w:type="paragraph" w:styleId="924" w:customStyle="1">
    <w:name w:val="日期1"/>
    <w:basedOn w:val="702"/>
    <w:next w:val="702"/>
    <w:link w:val="925"/>
    <w:uiPriority w:val="0"/>
    <w:qFormat/>
    <w:rPr>
      <w:sz w:val="24"/>
      <w:szCs w:val="24"/>
    </w:rPr>
  </w:style>
  <w:style w:type="character" w:styleId="925" w:customStyle="1">
    <w:name w:val="日期 Char"/>
    <w:link w:val="924"/>
    <w:uiPriority w:val="0"/>
    <w:qFormat/>
    <w:rPr>
      <w:rFonts w:ascii="Times New Roman" w:hAnsi="Times New Roman" w:eastAsia="宋体" w:cs="Times New Roman"/>
      <w:sz w:val="24"/>
      <w:szCs w:val="24"/>
    </w:rPr>
  </w:style>
  <w:style w:type="paragraph" w:styleId="926" w:customStyle="1">
    <w:name w:val="正文文本缩进 21"/>
    <w:basedOn w:val="702"/>
    <w:link w:val="927"/>
    <w:uiPriority w:val="0"/>
    <w:qFormat/>
    <w:pPr>
      <w:ind w:left="630" w:firstLine="645"/>
    </w:pPr>
    <w:rPr>
      <w:rFonts w:ascii="Arial" w:hAnsi="Arial" w:eastAsia="仿宋_GB2312"/>
      <w:sz w:val="32"/>
      <w:szCs w:val="32"/>
    </w:rPr>
  </w:style>
  <w:style w:type="character" w:styleId="927" w:customStyle="1">
    <w:name w:val="正文文本缩进 2 Char"/>
    <w:link w:val="926"/>
    <w:uiPriority w:val="0"/>
    <w:qFormat/>
    <w:rPr>
      <w:rFonts w:ascii="Arial" w:hAnsi="Arial" w:eastAsia="仿宋_GB2312" w:cs="Arial"/>
      <w:sz w:val="32"/>
      <w:szCs w:val="32"/>
    </w:rPr>
  </w:style>
  <w:style w:type="paragraph" w:styleId="928" w:customStyle="1">
    <w:name w:val="批注框文本1"/>
    <w:basedOn w:val="702"/>
    <w:link w:val="929"/>
    <w:uiPriority w:val="0"/>
    <w:semiHidden/>
    <w:qFormat/>
    <w:rPr>
      <w:sz w:val="18"/>
      <w:szCs w:val="18"/>
    </w:rPr>
  </w:style>
  <w:style w:type="character" w:styleId="929" w:customStyle="1">
    <w:name w:val="批注框文本 Char"/>
    <w:link w:val="928"/>
    <w:uiPriority w:val="0"/>
    <w:semiHidden/>
    <w:qFormat/>
    <w:rPr>
      <w:rFonts w:ascii="Times New Roman" w:hAnsi="Times New Roman" w:eastAsia="宋体" w:cs="Times New Roman"/>
      <w:sz w:val="18"/>
      <w:szCs w:val="18"/>
    </w:rPr>
  </w:style>
  <w:style w:type="paragraph" w:styleId="930" w:customStyle="1">
    <w:name w:val="页脚1"/>
    <w:basedOn w:val="702"/>
    <w:link w:val="931"/>
    <w:uiPriority w:val="0"/>
    <w:qFormat/>
    <w:pPr>
      <w:jc w:val="left"/>
      <w:tabs>
        <w:tab w:val="center" w:pos="4153" w:leader="none"/>
        <w:tab w:val="right" w:pos="8306" w:leader="none"/>
      </w:tabs>
    </w:pPr>
    <w:rPr>
      <w:sz w:val="18"/>
      <w:szCs w:val="18"/>
    </w:rPr>
  </w:style>
  <w:style w:type="character" w:styleId="931" w:customStyle="1">
    <w:name w:val="页脚 Char"/>
    <w:link w:val="930"/>
    <w:uiPriority w:val="0"/>
    <w:qFormat/>
    <w:rPr>
      <w:rFonts w:ascii="Times New Roman" w:hAnsi="Times New Roman" w:eastAsia="宋体" w:cs="Times New Roman"/>
      <w:sz w:val="18"/>
      <w:szCs w:val="18"/>
    </w:rPr>
  </w:style>
  <w:style w:type="paragraph" w:styleId="932" w:customStyle="1">
    <w:name w:val="页眉1"/>
    <w:basedOn w:val="70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Char"/>
    <w:link w:val="932"/>
    <w:uiPriority w:val="99"/>
    <w:qFormat/>
    <w:rPr>
      <w:rFonts w:ascii="Times New Roman" w:hAnsi="Times New Roman" w:eastAsia="宋体" w:cs="Times New Roman"/>
      <w:sz w:val="18"/>
      <w:szCs w:val="18"/>
    </w:rPr>
  </w:style>
  <w:style w:type="paragraph" w:styleId="934"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5" w:customStyle="1">
    <w:name w:val="目录 41"/>
    <w:basedOn w:val="702"/>
    <w:next w:val="702"/>
    <w:uiPriority w:val="0"/>
    <w:semiHidden/>
    <w:qFormat/>
    <w:pPr>
      <w:ind w:left="630"/>
      <w:jc w:val="left"/>
    </w:pPr>
  </w:style>
  <w:style w:type="paragraph" w:styleId="936" w:customStyle="1">
    <w:name w:val="列表1"/>
    <w:basedOn w:val="702"/>
    <w:uiPriority w:val="0"/>
    <w:qFormat/>
    <w:pPr>
      <w:ind w:left="200" w:hanging="200"/>
    </w:pPr>
  </w:style>
  <w:style w:type="paragraph" w:styleId="937" w:customStyle="1">
    <w:name w:val="目录 61"/>
    <w:basedOn w:val="702"/>
    <w:next w:val="702"/>
    <w:uiPriority w:val="0"/>
    <w:semiHidden/>
    <w:qFormat/>
    <w:pPr>
      <w:ind w:left="1050"/>
      <w:jc w:val="left"/>
    </w:pPr>
  </w:style>
  <w:style w:type="paragraph" w:styleId="938" w:customStyle="1">
    <w:name w:val="正文文本缩进 31"/>
    <w:basedOn w:val="702"/>
    <w:link w:val="939"/>
    <w:uiPriority w:val="0"/>
    <w:qFormat/>
    <w:pPr>
      <w:ind w:left="645" w:firstLine="645"/>
    </w:pPr>
    <w:rPr>
      <w:rFonts w:ascii="Arial" w:hAnsi="Arial" w:eastAsia="仿宋_GB2312"/>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图表目录1"/>
    <w:basedOn w:val="702"/>
    <w:next w:val="702"/>
    <w:uiPriority w:val="0"/>
    <w:semiHidden/>
    <w:qFormat/>
    <w:pPr>
      <w:ind w:left="840" w:hanging="420"/>
    </w:pPr>
  </w:style>
  <w:style w:type="paragraph" w:styleId="941" w:customStyle="1">
    <w:name w:val="目录 21"/>
    <w:basedOn w:val="702"/>
    <w:next w:val="702"/>
    <w:uiPriority w:val="0"/>
    <w:semiHidden/>
    <w:qFormat/>
    <w:pPr>
      <w:ind w:left="210"/>
      <w:jc w:val="left"/>
    </w:pPr>
    <w:rPr>
      <w:smallCaps/>
      <w:szCs w:val="24"/>
    </w:rPr>
  </w:style>
  <w:style w:type="paragraph" w:styleId="942" w:customStyle="1">
    <w:name w:val="目录 91"/>
    <w:basedOn w:val="702"/>
    <w:next w:val="702"/>
    <w:uiPriority w:val="0"/>
    <w:semiHidden/>
    <w:qFormat/>
    <w:pPr>
      <w:ind w:left="1680"/>
      <w:jc w:val="left"/>
    </w:pPr>
  </w:style>
  <w:style w:type="paragraph" w:styleId="943" w:customStyle="1">
    <w:name w:val="正文文本 21"/>
    <w:basedOn w:val="702"/>
    <w:link w:val="944"/>
    <w:uiPriority w:val="0"/>
    <w:qFormat/>
    <w:pPr>
      <w:jc w:val="center"/>
      <w:widowControl/>
    </w:pPr>
    <w:rPr>
      <w:rFonts w:ascii="楷体_GB2312" w:eastAsia="楷体_GB2312"/>
      <w:sz w:val="28"/>
      <w:szCs w:val="28"/>
    </w:rPr>
  </w:style>
  <w:style w:type="character" w:styleId="944" w:customStyle="1">
    <w:name w:val="正文文本 2 Char"/>
    <w:link w:val="943"/>
    <w:uiPriority w:val="0"/>
    <w:qFormat/>
    <w:rPr>
      <w:rFonts w:ascii="楷体_GB2312" w:hAnsi="Times New Roman" w:eastAsia="楷体_GB2312" w:cs="Times New Roman"/>
      <w:sz w:val="28"/>
      <w:szCs w:val="28"/>
    </w:rPr>
  </w:style>
  <w:style w:type="paragraph" w:styleId="945" w:customStyle="1">
    <w:name w:val="HTML 预设格式1"/>
    <w:basedOn w:val="702"/>
    <w:link w:val="94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customStyle="1">
    <w:name w:val="HTML 预设格式 Char"/>
    <w:basedOn w:val="894"/>
    <w:link w:val="945"/>
    <w:uiPriority w:val="99"/>
    <w:semiHidden/>
    <w:qFormat/>
    <w:rPr>
      <w:rFonts w:ascii="宋体" w:hAnsi="宋体" w:cs="宋体"/>
      <w:sz w:val="24"/>
      <w:szCs w:val="24"/>
    </w:rPr>
  </w:style>
  <w:style w:type="paragraph" w:styleId="947"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948" w:customStyle="1">
    <w:name w:val="索引 11"/>
    <w:basedOn w:val="702"/>
    <w:next w:val="702"/>
    <w:uiPriority w:val="0"/>
    <w:semiHidden/>
    <w:qFormat/>
    <w:pPr>
      <w:spacing w:line="240" w:lineRule="atLeast"/>
    </w:pPr>
    <w:rPr>
      <w:b/>
      <w:bCs/>
    </w:rPr>
  </w:style>
  <w:style w:type="paragraph" w:styleId="949" w:customStyle="1">
    <w:name w:val="批注主题1"/>
    <w:basedOn w:val="910"/>
    <w:next w:val="910"/>
    <w:link w:val="950"/>
    <w:uiPriority w:val="0"/>
    <w:semiHidden/>
    <w:qFormat/>
    <w:rPr>
      <w:b/>
      <w:bCs/>
    </w:rPr>
  </w:style>
  <w:style w:type="character" w:styleId="950" w:customStyle="1">
    <w:name w:val="批注主题 Char"/>
    <w:link w:val="949"/>
    <w:uiPriority w:val="0"/>
    <w:semiHidden/>
    <w:qFormat/>
    <w:rPr>
      <w:rFonts w:ascii="Times New Roman" w:hAnsi="Times New Roman" w:eastAsia="宋体" w:cs="Times New Roman"/>
      <w:b/>
      <w:bCs/>
      <w:szCs w:val="21"/>
    </w:rPr>
  </w:style>
  <w:style w:type="paragraph" w:styleId="951" w:customStyle="1">
    <w:name w:val="正文首行缩进1"/>
    <w:basedOn w:val="702"/>
    <w:link w:val="952"/>
    <w:uiPriority w:val="0"/>
    <w:qFormat/>
    <w:pPr>
      <w:ind w:firstLine="200"/>
      <w:spacing w:line="360" w:lineRule="auto"/>
    </w:pPr>
    <w:rPr>
      <w:rFonts w:ascii="仿宋_GB2312" w:eastAsia="仿宋_GB2312"/>
      <w:sz w:val="30"/>
      <w:szCs w:val="30"/>
    </w:rPr>
  </w:style>
  <w:style w:type="character" w:styleId="952" w:customStyle="1">
    <w:name w:val="正文首行缩进 Char"/>
    <w:link w:val="951"/>
    <w:uiPriority w:val="0"/>
    <w:qFormat/>
    <w:rPr>
      <w:rFonts w:ascii="仿宋_GB2312" w:hAnsi="Times New Roman" w:eastAsia="仿宋_GB2312" w:cs="Times New Roman"/>
      <w:sz w:val="30"/>
      <w:szCs w:val="30"/>
    </w:rPr>
  </w:style>
  <w:style w:type="paragraph" w:styleId="953" w:customStyle="1">
    <w:name w:val="正文首行缩进 21"/>
    <w:basedOn w:val="916"/>
    <w:link w:val="954"/>
    <w:uiPriority w:val="0"/>
    <w:qFormat/>
    <w:pPr>
      <w:ind w:firstLine="420"/>
      <w:spacing w:line="360" w:lineRule="auto"/>
    </w:pPr>
    <w:rPr>
      <w:rFonts w:ascii="宋体" w:hAnsi="宋体" w:eastAsia="宋体"/>
      <w:szCs w:val="20"/>
    </w:rPr>
  </w:style>
  <w:style w:type="character" w:styleId="954" w:customStyle="1">
    <w:name w:val="正文首行缩进 2 Char"/>
    <w:link w:val="953"/>
    <w:uiPriority w:val="0"/>
    <w:qFormat/>
    <w:rPr>
      <w:rFonts w:ascii="宋体" w:hAnsi="宋体" w:eastAsia="宋体" w:cs="Times New Roman"/>
      <w:sz w:val="32"/>
      <w:szCs w:val="20"/>
    </w:rPr>
  </w:style>
  <w:style w:type="table" w:styleId="955" w:customStyle="1">
    <w:name w:val="网格型1"/>
    <w:basedOn w:val="895"/>
    <w:uiPriority w:val="0"/>
    <w:qFormat/>
    <w:pPr>
      <w:jc w:val="both"/>
      <w:widowControl w:val="off"/>
    </w:pPr>
    <w:rPr>
      <w:rFonts w:ascii="Times New Roman" w:hAnsi="Times New Roman" w:eastAsia="宋体" w:cs="Times New Roman"/>
      <w:sz w:val="20"/>
      <w:szCs w:val="20"/>
    </w:rPr>
    <w:tblPr/>
  </w:style>
  <w:style w:type="character" w:styleId="956" w:customStyle="1">
    <w:name w:val="要点1"/>
    <w:link w:val="702"/>
    <w:uiPriority w:val="0"/>
    <w:qFormat/>
    <w:rPr>
      <w:b/>
      <w:bCs/>
    </w:rPr>
  </w:style>
  <w:style w:type="character" w:styleId="957" w:customStyle="1">
    <w:name w:val="页码1"/>
    <w:link w:val="702"/>
    <w:uiPriority w:val="0"/>
    <w:qFormat/>
  </w:style>
  <w:style w:type="character" w:styleId="958" w:customStyle="1">
    <w:name w:val="已访问的超链接1"/>
    <w:link w:val="702"/>
    <w:uiPriority w:val="0"/>
    <w:qFormat/>
    <w:rPr>
      <w:color w:val="800080"/>
      <w:u w:val="single"/>
    </w:rPr>
  </w:style>
  <w:style w:type="character" w:styleId="959" w:customStyle="1">
    <w:name w:val="HTML 打字机1"/>
    <w:link w:val="702"/>
    <w:uiPriority w:val="99"/>
    <w:qFormat/>
    <w:rPr>
      <w:rFonts w:ascii="宋体" w:hAnsi="宋体" w:eastAsia="宋体" w:cs="宋体"/>
      <w:sz w:val="24"/>
      <w:szCs w:val="24"/>
    </w:rPr>
  </w:style>
  <w:style w:type="character" w:styleId="960" w:customStyle="1">
    <w:name w:val="超链接1"/>
    <w:link w:val="702"/>
    <w:uiPriority w:val="0"/>
    <w:qFormat/>
    <w:rPr>
      <w:color w:val="0000ff"/>
      <w:u w:val="single"/>
    </w:rPr>
  </w:style>
  <w:style w:type="character" w:styleId="961" w:customStyle="1">
    <w:name w:val="批注引用1"/>
    <w:link w:val="702"/>
    <w:uiPriority w:val="0"/>
    <w:semiHidden/>
    <w:qFormat/>
    <w:rPr>
      <w:sz w:val="21"/>
      <w:szCs w:val="21"/>
    </w:rPr>
  </w:style>
  <w:style w:type="character" w:styleId="962" w:customStyle="1">
    <w:name w:val="font5 Char"/>
    <w:link w:val="702"/>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lang w:val="en-US" w:eastAsia="zh-CN" w:bidi="ar-SA"/>
    </w:rPr>
  </w:style>
  <w:style w:type="paragraph" w:styleId="964" w:customStyle="1">
    <w:name w:val="二级目录"/>
    <w:next w:val="702"/>
    <w:link w:val="96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5" w:customStyle="1">
    <w:name w:val="列出段落 Char"/>
    <w:link w:val="966"/>
    <w:uiPriority w:val="0"/>
    <w:qFormat/>
    <w:rPr>
      <w:rFonts w:ascii="Calibri" w:hAnsi="Calibri"/>
      <w:sz w:val="24"/>
      <w:szCs w:val="24"/>
      <w:lang w:eastAsia="en-US" w:bidi="en-US"/>
    </w:rPr>
  </w:style>
  <w:style w:type="paragraph" w:styleId="966" w:customStyle="1">
    <w:name w:val="列出段落1"/>
    <w:basedOn w:val="702"/>
    <w:link w:val="965"/>
    <w:uiPriority w:val="0"/>
    <w:qFormat/>
    <w:pPr>
      <w:contextualSpacing/>
      <w:ind w:left="720"/>
      <w:jc w:val="left"/>
      <w:widowControl/>
    </w:pPr>
    <w:rPr>
      <w:rFonts w:ascii="Calibri" w:hAnsi="Calibri"/>
      <w:sz w:val="24"/>
      <w:szCs w:val="24"/>
      <w:lang w:eastAsia="en-US" w:bidi="en-US"/>
    </w:rPr>
  </w:style>
  <w:style w:type="paragraph" w:styleId="967" w:customStyle="1">
    <w:name w:val="Body Text(ch)"/>
    <w:basedOn w:val="702"/>
    <w:next w:val="914"/>
    <w:uiPriority w:val="0"/>
    <w:qFormat/>
    <w:pPr>
      <w:spacing w:after="120"/>
    </w:pPr>
    <w:rPr>
      <w:rFonts w:ascii="宋体" w:hAnsi="Arial"/>
      <w:bCs/>
      <w:iCs/>
      <w:szCs w:val="24"/>
    </w:rPr>
  </w:style>
  <w:style w:type="paragraph" w:styleId="968"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702"/>
    <w:uiPriority w:val="0"/>
    <w:qFormat/>
    <w:pPr>
      <w:ind w:firstLine="200"/>
      <w:tabs>
        <w:tab w:val="left" w:pos="360" w:leader="none"/>
      </w:tabs>
    </w:pPr>
    <w:rPr>
      <w:sz w:val="28"/>
      <w:szCs w:val="30"/>
    </w:rPr>
  </w:style>
  <w:style w:type="paragraph" w:styleId="971" w:customStyle="1">
    <w:name w:val=" Char"/>
    <w:basedOn w:val="908"/>
    <w:uiPriority w:val="0"/>
    <w:qFormat/>
    <w:rPr>
      <w:rFonts w:ascii="Tahoma" w:hAnsi="Tahoma"/>
      <w:sz w:val="24"/>
      <w:szCs w:val="24"/>
    </w:rPr>
  </w:style>
  <w:style w:type="paragraph" w:styleId="972"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3" w:customStyle="1">
    <w:name w:val="table_lines"/>
    <w:basedOn w:val="702"/>
    <w:uiPriority w:val="0"/>
    <w:qFormat/>
    <w:pPr>
      <w:jc w:val="left"/>
      <w:widowControl/>
    </w:pPr>
    <w:rPr>
      <w:sz w:val="20"/>
      <w:szCs w:val="20"/>
      <w:lang w:val="de-DE" w:eastAsia="de-DE"/>
    </w:rPr>
  </w:style>
  <w:style w:type="paragraph" w:styleId="97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5"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 Char Char Char Char"/>
    <w:basedOn w:val="908"/>
    <w:uiPriority w:val="0"/>
    <w:qFormat/>
    <w:pPr>
      <w:spacing w:line="360" w:lineRule="auto"/>
    </w:pPr>
    <w:rPr>
      <w:rFonts w:ascii="Tahoma" w:hAnsi="Tahoma"/>
      <w:sz w:val="24"/>
      <w:szCs w:val="24"/>
    </w:rPr>
  </w:style>
  <w:style w:type="paragraph" w:styleId="977" w:customStyle="1">
    <w:name w:val="列出段落"/>
    <w:basedOn w:val="702"/>
    <w:uiPriority w:val="99"/>
    <w:qFormat/>
    <w:pPr>
      <w:contextualSpacing/>
      <w:ind w:left="720"/>
      <w:jc w:val="left"/>
      <w:widowControl/>
    </w:pPr>
    <w:rPr>
      <w:rFonts w:ascii="Calibri" w:hAnsi="Calibri"/>
      <w:sz w:val="24"/>
      <w:szCs w:val="24"/>
      <w:lang w:eastAsia="en-US" w:bidi="en-US"/>
    </w:rPr>
  </w:style>
  <w:style w:type="paragraph" w:styleId="978" w:customStyle="1">
    <w:name w:val="4"/>
    <w:basedOn w:val="702"/>
    <w:next w:val="938"/>
    <w:uiPriority w:val="0"/>
    <w:qFormat/>
    <w:pPr>
      <w:ind w:firstLine="420"/>
      <w:spacing w:line="360" w:lineRule="auto"/>
    </w:pPr>
    <w:rPr>
      <w:color w:val="ff0000"/>
      <w:sz w:val="24"/>
      <w:szCs w:val="24"/>
    </w:rPr>
  </w:style>
  <w:style w:type="paragraph" w:styleId="979"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80" w:customStyle="1">
    <w:name w:val=" Char Char Char Char Char Char Char Char Char Char"/>
    <w:basedOn w:val="702"/>
    <w:uiPriority w:val="0"/>
    <w:qFormat/>
    <w:pPr>
      <w:spacing w:line="360" w:lineRule="auto"/>
    </w:pPr>
    <w:rPr>
      <w:sz w:val="24"/>
      <w:szCs w:val="20"/>
    </w:rPr>
  </w:style>
  <w:style w:type="paragraph" w:styleId="981" w:customStyle="1">
    <w:name w:val="样式1"/>
    <w:basedOn w:val="702"/>
    <w:uiPriority w:val="0"/>
    <w:qFormat/>
    <w:pPr>
      <w:numPr>
        <w:ilvl w:val="0"/>
        <w:numId w:val="3"/>
      </w:numPr>
    </w:pPr>
    <w:rPr>
      <w:rFonts w:ascii="宋体" w:hAnsi="宋体"/>
    </w:rPr>
  </w:style>
  <w:style w:type="paragraph" w:styleId="982"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6"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89"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
    <w:basedOn w:val="908"/>
    <w:uiPriority w:val="0"/>
    <w:qFormat/>
    <w:pPr>
      <w:spacing w:line="360" w:lineRule="auto"/>
    </w:pPr>
    <w:rPr>
      <w:rFonts w:ascii="Tahoma" w:hAnsi="Tahoma"/>
      <w:sz w:val="24"/>
      <w:szCs w:val="24"/>
    </w:rPr>
  </w:style>
  <w:style w:type="paragraph" w:styleId="993" w:customStyle="1">
    <w:name w:val="table_1stline"/>
    <w:basedOn w:val="702"/>
    <w:uiPriority w:val="0"/>
    <w:qFormat/>
    <w:pPr>
      <w:jc w:val="left"/>
      <w:spacing w:before="120"/>
      <w:widowControl/>
    </w:pPr>
    <w:rPr>
      <w:bCs/>
      <w:sz w:val="20"/>
      <w:szCs w:val="20"/>
      <w:lang w:val="de-DE" w:eastAsia="de-DE"/>
    </w:rPr>
  </w:style>
  <w:style w:type="paragraph" w:styleId="994"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8" w:customStyle="1">
    <w:name w:val="普通文字"/>
    <w:basedOn w:val="702"/>
    <w:next w:val="702"/>
    <w:uiPriority w:val="99"/>
    <w:qFormat/>
    <w:rPr>
      <w:rFonts w:ascii="宋体" w:hAnsi="Times New Roman" w:eastAsia="宋体" w:cs="Times New Roman"/>
      <w:sz w:val="24"/>
      <w:szCs w:val="20"/>
      <w:u w:val="none"/>
    </w:rPr>
  </w:style>
  <w:style w:type="paragraph" w:styleId="999" w:customStyle="1">
    <w:name w:val="目录 111"/>
    <w:basedOn w:val="702"/>
    <w:next w:val="702"/>
    <w:uiPriority w:val="39"/>
    <w:unhideWhenUsed/>
    <w:qFormat/>
    <w:pPr>
      <w:jc w:val="left"/>
      <w:spacing w:after="100" w:line="259" w:lineRule="auto"/>
      <w:widowControl/>
    </w:pPr>
    <w:rPr>
      <w:rFonts w:ascii="Calibri" w:hAnsi="Calibri" w:eastAsia="宋体"/>
      <w:sz w:val="22"/>
      <w:szCs w:val="22"/>
    </w:rPr>
  </w:style>
  <w:style w:type="table" w:styleId="1000" w:customStyle="1">
    <w:name w:val="Table Normal"/>
    <w:uiPriority w:val="0"/>
    <w:unhideWhenUsed/>
    <w:qFormat/>
    <w:tbl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71</cp:revision>
  <dcterms:created xsi:type="dcterms:W3CDTF">2023-03-16T02:16:00Z</dcterms:created>
  <dcterms:modified xsi:type="dcterms:W3CDTF">2026-08-13T03:02:49Z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2052-12.1.0.26895</vt:lpwstr>
  </property>
  <property fmtid="{D5CDD505-2E9C-101B-9397-08002B2CF9AE}" pid="4" name="ICV">
    <vt:lpwstr>F0ED58A4F83F4AFEB1431F3D9C11A103_12</vt:lpwstr>
  </property>
</Properties>
</file>